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777777"/>
          <w:sz w:val="20"/>
        </w:rPr>
        <w:t xml:space="preserve">  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color w:val="555555"/>
          <w:sz w:val="24"/>
        </w:rPr>
        <w:t>No. SHAQ-YTN-USA-260917</w:t>
      </w:r>
    </w:p>
    <w:p>
      <w:r>
        <w:rPr>
          <w:b/>
          <w:sz w:val="22"/>
        </w:rPr>
        <w:t xml:space="preserve">Quote Date: </w:t>
      </w:r>
      <w:r>
        <w:rPr>
          <w:sz w:val="22"/>
        </w:rPr>
        <w:t>September 17, 2026</w:t>
      </w:r>
    </w:p>
    <w:p>
      <w:r>
        <w:rPr>
          <w:b/>
          <w:sz w:val="22"/>
        </w:rPr>
        <w:t xml:space="preserve">Valid Until: </w:t>
      </w:r>
      <w:r>
        <w:rPr>
          <w:sz w:val="22"/>
        </w:rPr>
        <w:t>September 20, 2026</w:t>
      </w:r>
    </w:p>
    <w:p>
      <w:r>
        <w:rPr>
          <w:b/>
          <w:sz w:val="22"/>
        </w:rPr>
        <w:t xml:space="preserve">Issued By: </w:t>
      </w:r>
      <w:r>
        <w:rPr>
          <w:sz w:val="22"/>
        </w:rPr>
        <w:t>Aaron — SHAQ Logistics | WhatsApp: +86 158 1850 5125</w:t>
      </w:r>
    </w:p>
    <w:p>
      <w:r>
        <w:rPr>
          <w:b/>
        </w:rPr>
        <w:t>Route: Yantian, China (CNYTN)  →  Los Angeles, USA (USLAX) / Miami, USA (USMIA)</w:t>
      </w:r>
    </w:p>
    <w:p>
      <w:pPr>
        <w:pStyle w:val="Heading2"/>
      </w:pPr>
      <w:r>
        <w:t>Ocean Freight Rates — Yantian to USA (USD per Container)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#</w:t>
            </w:r>
          </w:p>
        </w:tc>
        <w:tc>
          <w:tcPr>
            <w:tcW w:type="dxa" w:w="1080"/>
          </w:tcPr>
          <w:p>
            <w:r>
              <w:t>Destination (POD)</w:t>
            </w:r>
          </w:p>
        </w:tc>
        <w:tc>
          <w:tcPr>
            <w:tcW w:type="dxa" w:w="1080"/>
          </w:tcPr>
          <w:p>
            <w:r>
              <w:t>Port Code</w:t>
            </w:r>
          </w:p>
        </w:tc>
        <w:tc>
          <w:tcPr>
            <w:tcW w:type="dxa" w:w="1080"/>
          </w:tcPr>
          <w:p>
            <w:r>
              <w:t>Transit</w:t>
            </w:r>
          </w:p>
        </w:tc>
        <w:tc>
          <w:tcPr>
            <w:tcW w:type="dxa" w:w="1080"/>
          </w:tcPr>
          <w:p>
            <w:r>
              <w:t>20GP</w:t>
            </w:r>
          </w:p>
        </w:tc>
        <w:tc>
          <w:tcPr>
            <w:tcW w:type="dxa" w:w="1080"/>
          </w:tcPr>
          <w:p>
            <w:r>
              <w:t>40GP</w:t>
            </w:r>
          </w:p>
        </w:tc>
        <w:tc>
          <w:tcPr>
            <w:tcW w:type="dxa" w:w="1080"/>
          </w:tcPr>
          <w:p>
            <w:r>
              <w:t>40HC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Los Angeles, USA</w:t>
            </w:r>
          </w:p>
        </w:tc>
        <w:tc>
          <w:tcPr>
            <w:tcW w:type="dxa" w:w="1080"/>
          </w:tcPr>
          <w:p>
            <w:r>
              <w:t>USLAX</w:t>
            </w:r>
          </w:p>
        </w:tc>
        <w:tc>
          <w:tcPr>
            <w:tcW w:type="dxa" w:w="1080"/>
          </w:tcPr>
          <w:p>
            <w:r>
              <w:t>13 Days</w:t>
            </w:r>
          </w:p>
        </w:tc>
        <w:tc>
          <w:tcPr>
            <w:tcW w:type="dxa" w:w="1080"/>
          </w:tcPr>
          <w:p>
            <w:r>
              <w:t>5,600.00</w:t>
            </w:r>
          </w:p>
        </w:tc>
        <w:tc>
          <w:tcPr>
            <w:tcW w:type="dxa" w:w="1080"/>
          </w:tcPr>
          <w:p>
            <w:r>
              <w:t>7,700.00</w:t>
            </w:r>
          </w:p>
        </w:tc>
        <w:tc>
          <w:tcPr>
            <w:tcW w:type="dxa" w:w="1080"/>
          </w:tcPr>
          <w:p>
            <w:r>
              <w:t>7,700.00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Miami, USA</w:t>
            </w:r>
          </w:p>
        </w:tc>
        <w:tc>
          <w:tcPr>
            <w:tcW w:type="dxa" w:w="1080"/>
          </w:tcPr>
          <w:p>
            <w:r>
              <w:t>USMIA</w:t>
            </w:r>
          </w:p>
        </w:tc>
        <w:tc>
          <w:tcPr>
            <w:tcW w:type="dxa" w:w="1080"/>
          </w:tcPr>
          <w:p>
            <w:r>
              <w:t>34 Days</w:t>
            </w:r>
          </w:p>
        </w:tc>
        <w:tc>
          <w:tcPr>
            <w:tcW w:type="dxa" w:w="1080"/>
          </w:tcPr>
          <w:p>
            <w:r>
              <w:t>9,700.00</w:t>
            </w:r>
          </w:p>
        </w:tc>
        <w:tc>
          <w:tcPr>
            <w:tcW w:type="dxa" w:w="1080"/>
          </w:tcPr>
          <w:p>
            <w:r>
              <w:t>9,800.00</w:t>
            </w:r>
          </w:p>
        </w:tc>
        <w:tc>
          <w:tcPr>
            <w:tcW w:type="dxa" w:w="1080"/>
          </w:tcPr>
          <w:p>
            <w:r>
              <w:t>9,800.00</w:t>
            </w:r>
          </w:p>
        </w:tc>
        <w:tc>
          <w:tcPr>
            <w:tcW w:type="dxa" w:w="1080"/>
          </w:tcPr>
          <w:p>
            <w:r/>
          </w:p>
        </w:tc>
      </w:tr>
    </w:tbl>
    <w:p>
      <w:r>
        <w:rPr>
          <w:color w:val="777777"/>
          <w:sz w:val="20"/>
        </w:rPr>
        <w:t>Rates are quoted per container, in USD. Each lane is independent — rates are not cumulative. Sailing frequency: Every Saturday. Carrier to be confirmed at booking.</w:t>
      </w:r>
    </w:p>
    <w:p>
      <w:pPr>
        <w:pStyle w:val="Heading2"/>
      </w:pPr>
      <w: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To be confirmed at booking</w:t>
            </w:r>
          </w:p>
        </w:tc>
      </w:tr>
      <w:tr>
        <w:tc>
          <w:tcPr>
            <w:tcW w:type="dxa" w:w="4320"/>
          </w:tcPr>
          <w:p>
            <w:r>
              <w:t>Origin Port</w:t>
            </w:r>
          </w:p>
        </w:tc>
        <w:tc>
          <w:tcPr>
            <w:tcW w:type="dxa" w:w="4320"/>
          </w:tcPr>
          <w:p>
            <w:r>
              <w:t>Yantian, China (CNYTN)</w:t>
            </w:r>
          </w:p>
        </w:tc>
      </w:tr>
      <w:tr>
        <w:tc>
          <w:tcPr>
            <w:tcW w:type="dxa" w:w="4320"/>
          </w:tcPr>
          <w:p>
            <w:r>
              <w:t>Destinations</w:t>
            </w:r>
          </w:p>
        </w:tc>
        <w:tc>
          <w:tcPr>
            <w:tcW w:type="dxa" w:w="4320"/>
          </w:tcPr>
          <w:p>
            <w:r>
              <w:t>Los Angeles, USA (USLAX) · Miami, USA (USMIA)</w:t>
            </w:r>
          </w:p>
        </w:tc>
      </w:tr>
      <w:tr>
        <w:tc>
          <w:tcPr>
            <w:tcW w:type="dxa" w:w="4320"/>
          </w:tcPr>
          <w:p>
            <w:r>
              <w:t>Sailing Frequency</w:t>
            </w:r>
          </w:p>
        </w:tc>
        <w:tc>
          <w:tcPr>
            <w:tcW w:type="dxa" w:w="4320"/>
          </w:tcPr>
          <w:p>
            <w:r>
              <w:t>Every Saturday</w:t>
            </w:r>
          </w:p>
        </w:tc>
      </w:tr>
      <w:tr>
        <w:tc>
          <w:tcPr>
            <w:tcW w:type="dxa" w:w="4320"/>
          </w:tcPr>
          <w:p>
            <w:r>
              <w:t>Container Types</w:t>
            </w:r>
          </w:p>
        </w:tc>
        <w:tc>
          <w:tcPr>
            <w:tcW w:type="dxa" w:w="4320"/>
          </w:tcPr>
          <w:p>
            <w:r>
              <w:t>20GP / 40GP / 40HC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LA 13 Days · Miami 34 Days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September 20, 2026</w:t>
            </w:r>
          </w:p>
        </w:tc>
      </w:tr>
    </w:tbl>
    <w:p>
      <w:pPr>
        <w:pStyle w:val="Heading2"/>
      </w:pPr>
      <w:r>
        <w:t>Terms &amp; Remarks</w:t>
      </w:r>
    </w:p>
    <w:p>
      <w:pPr>
        <w:pStyle w:val="ListBullet"/>
      </w:pPr>
      <w:r>
        <w:t>Rate is per container, from Yantian, in USD.</w:t>
      </w:r>
    </w:p>
    <w:p>
      <w:pPr>
        <w:pStyle w:val="ListBullet"/>
      </w:pPr>
      <w:r>
        <w:t>Each lane is an independent rate — rates are not cumulative across destinations or container types.</w:t>
      </w:r>
    </w:p>
    <w:p>
      <w:pPr>
        <w:pStyle w:val="ListBullet"/>
      </w:pPr>
      <w:r>
        <w:t>Sailing frequency: Every Saturday.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