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2A6C"/>
          <w:sz w:val="44"/>
        </w:rPr>
        <w:t>SHAQ LOGISTICS</w:t>
      </w:r>
      <w:r>
        <w:rPr>
          <w:color w:val="0F7A8D"/>
          <w:sz w:val="20"/>
        </w:rPr>
        <w:t xml:space="preserve">  — Smart Freight Rate Platform</w:t>
      </w:r>
    </w:p>
    <w:p>
      <w:r>
        <w:rPr>
          <w:b/>
          <w:color w:val="1A2A6C"/>
          <w:sz w:val="36"/>
        </w:rPr>
        <w:t>FREIGHT QUOTE</w:t>
      </w:r>
    </w:p>
    <w:p>
      <w:r>
        <w:rPr>
          <w:color w:val="555555"/>
          <w:sz w:val="20"/>
        </w:rPr>
        <w:t>No. SHAQ-CN-IST-260903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Quote Date</w:t>
            </w:r>
          </w:p>
        </w:tc>
        <w:tc>
          <w:tcPr>
            <w:tcW w:type="dxa" w:w="2880"/>
          </w:tcPr>
          <w:p>
            <w:r>
              <w:t>September 3, 2026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Valid Until</w:t>
            </w:r>
          </w:p>
        </w:tc>
        <w:tc>
          <w:tcPr>
            <w:tcW w:type="dxa" w:w="2880"/>
          </w:tcPr>
          <w:p>
            <w:r>
              <w:t>September 14, 2026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Issued By</w:t>
            </w:r>
          </w:p>
        </w:tc>
        <w:tc>
          <w:tcPr>
            <w:tcW w:type="dxa" w:w="2880"/>
          </w:tcPr>
          <w:p>
            <w:r>
              <w:t>Aaron — SHAQ Logistics</w:t>
              <w:br/>
              <w:t>WhatsApp: +86 158 1850 5125</w:t>
            </w:r>
          </w:p>
        </w:tc>
        <w:tc>
          <w:tcPr>
            <w:tcW w:type="dxa" w:w="2880"/>
          </w:tcPr>
          <w:p/>
        </w:tc>
      </w:tr>
    </w:tbl>
    <w:p>
      <w:r>
        <w:rPr>
          <w:b/>
          <w:sz w:val="26"/>
        </w:rPr>
        <w:t>Shanghai / Shenzhen → Istanbul   |   COSCO   |   1 x 40DC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2160"/>
          </w:tcPr>
          <w:p>
            <w:r>
              <w:rPr>
                <w:b/>
              </w:rPr>
              <w:t>Qty</w:t>
            </w:r>
          </w:p>
        </w:tc>
        <w:tc>
          <w:tcPr>
            <w:tcW w:type="dxa" w:w="2160"/>
          </w:tcPr>
          <w:p>
            <w:r>
              <w:rPr>
                <w:b/>
              </w:rPr>
              <w:t>Unit Price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Amount (USD)</w:t>
            </w:r>
          </w:p>
        </w:tc>
      </w:tr>
      <w:tr>
        <w:tc>
          <w:tcPr>
            <w:tcW w:type="dxa" w:w="2160"/>
          </w:tcPr>
          <w:p>
            <w:r>
              <w:t>Ocean Freight, Shanghai → Istanbul</w:t>
              <w:br/>
              <w:t>Carrier: COSCO — 40DC, transit 39-49 days, free time 14 days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4,000.00</w:t>
            </w:r>
          </w:p>
        </w:tc>
        <w:tc>
          <w:tcPr>
            <w:tcW w:type="dxa" w:w="2160"/>
          </w:tcPr>
          <w:p>
            <w:r>
              <w:t>4,000.00</w:t>
            </w:r>
          </w:p>
        </w:tc>
      </w:tr>
      <w:tr>
        <w:tc>
          <w:tcPr>
            <w:tcW w:type="dxa" w:w="2160"/>
          </w:tcPr>
          <w:p>
            <w:r>
              <w:t>Ocean Freight, Shenzhen → Istanbul</w:t>
              <w:br/>
              <w:t>Carrier: COSCO — 40DC, transit 39-49 days, free time 14 days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4,000.00</w:t>
            </w:r>
          </w:p>
        </w:tc>
        <w:tc>
          <w:tcPr>
            <w:tcW w:type="dxa" w:w="2160"/>
          </w:tcPr>
          <w:p>
            <w:r>
              <w:t>4,000.00</w:t>
            </w:r>
          </w:p>
        </w:tc>
      </w:tr>
      <w:tr>
        <w:tc>
          <w:tcPr>
            <w:tcW w:type="dxa" w:w="2160"/>
          </w:tcPr>
          <w:p>
            <w:r>
              <w:t>Telex Release</w:t>
              <w:br/>
              <w:t>Per Bill of Lading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80.00</w:t>
            </w:r>
          </w:p>
        </w:tc>
        <w:tc>
          <w:tcPr>
            <w:tcW w:type="dxa" w:w="2160"/>
          </w:tcPr>
          <w:p>
            <w:r>
              <w:t>80.00</w:t>
            </w:r>
          </w:p>
        </w:tc>
      </w:tr>
      <w:tr>
        <w:tc>
          <w:tcPr>
            <w:tcW w:type="dxa" w:w="2160"/>
          </w:tcPr>
          <w:p>
            <w:r>
              <w:t>TOTAL (per 40DC — any origin port above)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USD 4,080.00</w:t>
            </w:r>
          </w:p>
        </w:tc>
      </w:tr>
    </w:tbl>
    <w:p>
      <w:r>
        <w:rPr>
          <w:b/>
          <w:color w:val="1A2A6C"/>
          <w:sz w:val="26"/>
        </w:rPr>
        <w:t>Shipment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Service Type</w:t>
            </w:r>
          </w:p>
        </w:tc>
        <w:tc>
          <w:tcPr>
            <w:tcW w:type="dxa" w:w="4320"/>
          </w:tcPr>
          <w:p>
            <w:r>
              <w:t>Ocean Freight (FCL)</w:t>
            </w:r>
          </w:p>
        </w:tc>
      </w:tr>
      <w:tr>
        <w:tc>
          <w:tcPr>
            <w:tcW w:type="dxa" w:w="4320"/>
          </w:tcPr>
          <w:p>
            <w:r>
              <w:t>Carrier</w:t>
            </w:r>
          </w:p>
        </w:tc>
        <w:tc>
          <w:tcPr>
            <w:tcW w:type="dxa" w:w="4320"/>
          </w:tcPr>
          <w:p>
            <w:r>
              <w:t>COSCO</w:t>
            </w:r>
          </w:p>
        </w:tc>
      </w:tr>
      <w:tr>
        <w:tc>
          <w:tcPr>
            <w:tcW w:type="dxa" w:w="4320"/>
          </w:tcPr>
          <w:p>
            <w:r>
              <w:t>Origin Ports</w:t>
            </w:r>
          </w:p>
        </w:tc>
        <w:tc>
          <w:tcPr>
            <w:tcW w:type="dxa" w:w="4320"/>
          </w:tcPr>
          <w:p>
            <w:r>
              <w:t>Shanghai (CNSHA) · Shenzhen (CNSZX), China</w:t>
            </w:r>
          </w:p>
        </w:tc>
      </w:tr>
      <w:tr>
        <w:tc>
          <w:tcPr>
            <w:tcW w:type="dxa" w:w="4320"/>
          </w:tcPr>
          <w:p>
            <w:r>
              <w:t>Destination Port</w:t>
            </w:r>
          </w:p>
        </w:tc>
        <w:tc>
          <w:tcPr>
            <w:tcW w:type="dxa" w:w="4320"/>
          </w:tcPr>
          <w:p>
            <w:r>
              <w:t>Istanbul, Türkiye</w:t>
            </w:r>
          </w:p>
        </w:tc>
      </w:tr>
      <w:tr>
        <w:tc>
          <w:tcPr>
            <w:tcW w:type="dxa" w:w="4320"/>
          </w:tcPr>
          <w:p>
            <w:r>
              <w:t>Container</w:t>
            </w:r>
          </w:p>
        </w:tc>
        <w:tc>
          <w:tcPr>
            <w:tcW w:type="dxa" w:w="4320"/>
          </w:tcPr>
          <w:p>
            <w:r>
              <w:t>1 x 40DC (40' Dry Container)</w:t>
            </w:r>
          </w:p>
        </w:tc>
      </w:tr>
      <w:tr>
        <w:tc>
          <w:tcPr>
            <w:tcW w:type="dxa" w:w="4320"/>
          </w:tcPr>
          <w:p>
            <w:r>
              <w:t>Transit Time</w:t>
            </w:r>
          </w:p>
        </w:tc>
        <w:tc>
          <w:tcPr>
            <w:tcW w:type="dxa" w:w="4320"/>
          </w:tcPr>
          <w:p>
            <w:r>
              <w:t>39 – 49 Days (varies by origin / vessel rotation)</w:t>
            </w:r>
          </w:p>
        </w:tc>
      </w:tr>
      <w:tr>
        <w:tc>
          <w:tcPr>
            <w:tcW w:type="dxa" w:w="4320"/>
          </w:tcPr>
          <w:p>
            <w:r>
              <w:t>Free Time</w:t>
            </w:r>
          </w:p>
        </w:tc>
        <w:tc>
          <w:tcPr>
            <w:tcW w:type="dxa" w:w="4320"/>
          </w:tcPr>
          <w:p>
            <w:r>
              <w:t>14 Days</w:t>
            </w:r>
          </w:p>
        </w:tc>
      </w:tr>
      <w:tr>
        <w:tc>
          <w:tcPr>
            <w:tcW w:type="dxa" w:w="4320"/>
          </w:tcPr>
          <w:p>
            <w:r>
              <w:t>Currency</w:t>
            </w:r>
          </w:p>
        </w:tc>
        <w:tc>
          <w:tcPr>
            <w:tcW w:type="dxa" w:w="4320"/>
          </w:tcPr>
          <w:p>
            <w:r>
              <w:t>USD</w:t>
            </w:r>
          </w:p>
        </w:tc>
      </w:tr>
      <w:tr>
        <w:tc>
          <w:tcPr>
            <w:tcW w:type="dxa" w:w="4320"/>
          </w:tcPr>
          <w:p>
            <w:r>
              <w:t>Validity</w:t>
            </w:r>
          </w:p>
        </w:tc>
        <w:tc>
          <w:tcPr>
            <w:tcW w:type="dxa" w:w="4320"/>
          </w:tcPr>
          <w:p>
            <w:r>
              <w:t>September 14, 2026</w:t>
            </w:r>
          </w:p>
        </w:tc>
      </w:tr>
    </w:tbl>
    <w:p>
      <w:r>
        <w:rPr>
          <w:b/>
          <w:color w:val="1A2A6C"/>
          <w:sz w:val="26"/>
        </w:rPr>
        <w:t>Terms &amp; Remarks</w:t>
      </w:r>
    </w:p>
    <w:p>
      <w:pPr>
        <w:pStyle w:val="ListBullet"/>
      </w:pPr>
      <w:r>
        <w:t>Freight rates are subject to space availability and carrier schedule at time of booking.</w:t>
      </w:r>
    </w:p>
    <w:p>
      <w:pPr>
        <w:pStyle w:val="ListBullet"/>
      </w:pPr>
      <w:r>
        <w:t>Same USD 4,000/40DC rate applies from both Shanghai and Shenzhen.</w:t>
      </w:r>
    </w:p>
    <w:p>
      <w:pPr>
        <w:pStyle w:val="ListBullet"/>
      </w:pPr>
      <w:r>
        <w:t>Free time: 14 days at destination. Demurrage/detention applies thereafter per COSCO tariff.</w:t>
      </w:r>
    </w:p>
    <w:p>
      <w:pPr>
        <w:pStyle w:val="ListBullet"/>
      </w:pPr>
      <w:r>
        <w:t>Telex release fee covers electronic B/L release; original B/L not required.</w:t>
      </w:r>
    </w:p>
    <w:p>
      <w:pPr>
        <w:pStyle w:val="ListBullet"/>
      </w:pPr>
      <w:r>
        <w:t>All charges are quoted in USD. Currency conversion fees borne by consignee.</w:t>
      </w:r>
    </w:p>
    <w:p>
      <w:r>
        <w:rPr>
          <w:b/>
          <w:color w:val="B21F1F"/>
        </w:rPr>
        <w:t>Lock This Rate — this rate is valid until September 14, 2026</w:t>
      </w:r>
    </w:p>
    <w:p>
      <w:r>
        <w:rPr>
          <w:color w:val="888888"/>
          <w:sz w:val="18"/>
        </w:rPr>
        <w:t>SHAQ Logistics — Room 3702, Long Park Chong Chin Building, No. 2010 Bao'an South Road, Luohu District, Shenzhen, China</w:t>
        <w:br/>
        <w:t>search.shaq-logistics.com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