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A2A6C"/>
          <w:sz w:val="44"/>
        </w:rPr>
        <w:t xml:space="preserve">SHAQ </w:t>
      </w:r>
      <w:r>
        <w:rPr>
          <w:b/>
          <w:color w:val="0F7A8D"/>
          <w:sz w:val="44"/>
        </w:rPr>
        <w:t>LOGISTICS</w:t>
      </w:r>
    </w:p>
    <w:p>
      <w:r>
        <w:rPr>
          <w:color w:val="777777"/>
          <w:sz w:val="16"/>
        </w:rPr>
        <w:t>SMART FREIGHT RATE PLATFORM</w:t>
      </w:r>
    </w:p>
    <w:p/>
    <w:p>
      <w:pPr>
        <w:jc w:val="right"/>
      </w:pPr>
      <w:r>
        <w:rPr>
          <w:b/>
          <w:color w:val="1A2A6C"/>
          <w:sz w:val="32"/>
        </w:rPr>
        <w:t>FREIGHT QUOTE</w:t>
      </w:r>
    </w:p>
    <w:p>
      <w:pPr>
        <w:jc w:val="right"/>
      </w:pPr>
      <w:r>
        <w:rPr>
          <w:sz w:val="20"/>
        </w:rPr>
        <w:t>No. SHAQ-SHA-SAI-260910</w:t>
      </w:r>
    </w:p>
    <w:p>
      <w:r>
        <w:rPr>
          <w:b/>
          <w:sz w:val="20"/>
        </w:rPr>
        <w:t xml:space="preserve">Quote Date: </w:t>
      </w:r>
      <w:r>
        <w:rPr>
          <w:sz w:val="20"/>
        </w:rPr>
        <w:t>September 10, 2026</w:t>
      </w:r>
    </w:p>
    <w:p>
      <w:r>
        <w:rPr>
          <w:b/>
          <w:sz w:val="20"/>
        </w:rPr>
        <w:t xml:space="preserve">Valid Until: </w:t>
      </w:r>
      <w:r>
        <w:rPr>
          <w:sz w:val="20"/>
        </w:rPr>
        <w:t>September 14, 2026</w:t>
      </w:r>
    </w:p>
    <w:p>
      <w:r>
        <w:rPr>
          <w:b/>
          <w:sz w:val="20"/>
        </w:rPr>
        <w:t xml:space="preserve">Issued By: </w:t>
      </w:r>
      <w:r>
        <w:rPr>
          <w:sz w:val="20"/>
        </w:rPr>
        <w:t>Aaron - SHAQ Logistics, WhatsApp: +86 158 1850 5125</w:t>
      </w:r>
    </w:p>
    <w:p/>
    <w:p>
      <w:pPr>
        <w:jc w:val="center"/>
      </w:pPr>
      <w:r>
        <w:rPr>
          <w:b/>
          <w:color w:val="1A2A6C"/>
          <w:sz w:val="22"/>
        </w:rPr>
        <w:t>CNSHA Shanghai, China  -&gt;  CLSAI San Antonio, Chile  -&gt;  COSCO, 1 x 40HC</w:t>
      </w:r>
    </w:p>
    <w:p/>
    <w:p>
      <w:r>
        <w:rPr>
          <w:b/>
          <w:color w:val="1A2A6C"/>
          <w:sz w:val="22"/>
        </w:rPr>
        <w:t>FREIGHT &amp; LOCAL CHARGES (USD)</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rPr>
                <w:b/>
                <w:sz w:val="18"/>
              </w:rPr>
              <w:t>#</w:t>
            </w:r>
          </w:p>
        </w:tc>
        <w:tc>
          <w:tcPr>
            <w:tcW w:type="dxa" w:w="2556"/>
          </w:tcPr>
          <w:p>
            <w:r>
              <w:rPr>
                <w:b/>
                <w:sz w:val="18"/>
              </w:rPr>
              <w:t>Charge</w:t>
            </w:r>
          </w:p>
        </w:tc>
        <w:tc>
          <w:tcPr>
            <w:tcW w:type="dxa" w:w="2556"/>
          </w:tcPr>
          <w:p>
            <w:r>
              <w:rPr>
                <w:b/>
                <w:sz w:val="18"/>
              </w:rPr>
              <w:t>Basis</w:t>
            </w:r>
          </w:p>
        </w:tc>
        <w:tc>
          <w:tcPr>
            <w:tcW w:type="dxa" w:w="2556"/>
          </w:tcPr>
          <w:p>
            <w:r>
              <w:rPr>
                <w:b/>
                <w:sz w:val="18"/>
              </w:rPr>
              <w:t>Rate (USD)</w:t>
            </w:r>
          </w:p>
        </w:tc>
      </w:tr>
      <w:tr>
        <w:tc>
          <w:tcPr>
            <w:tcW w:type="dxa" w:w="2556"/>
          </w:tcPr>
          <w:p>
            <w:pPr>
              <w:jc w:val="center"/>
            </w:pPr>
            <w:r>
              <w:rPr>
                <w:sz w:val="18"/>
              </w:rPr>
              <w:t>1</w:t>
            </w:r>
          </w:p>
        </w:tc>
        <w:tc>
          <w:tcPr>
            <w:tcW w:type="dxa" w:w="2556"/>
          </w:tcPr>
          <w:p>
            <w:r>
              <w:rPr>
                <w:sz w:val="18"/>
              </w:rPr>
              <w:t>Ocean Freight</w:t>
            </w:r>
          </w:p>
        </w:tc>
        <w:tc>
          <w:tcPr>
            <w:tcW w:type="dxa" w:w="2556"/>
          </w:tcPr>
          <w:p>
            <w:r>
              <w:rPr>
                <w:sz w:val="18"/>
              </w:rPr>
              <w:t>per 40HC</w:t>
            </w:r>
          </w:p>
        </w:tc>
        <w:tc>
          <w:tcPr>
            <w:tcW w:type="dxa" w:w="2556"/>
          </w:tcPr>
          <w:p>
            <w:r>
              <w:rPr>
                <w:b/>
                <w:sz w:val="18"/>
              </w:rPr>
              <w:t>6,300.00</w:t>
            </w:r>
          </w:p>
        </w:tc>
      </w:tr>
      <w:tr>
        <w:tc>
          <w:tcPr>
            <w:tcW w:type="dxa" w:w="2556"/>
          </w:tcPr>
          <w:p>
            <w:pPr>
              <w:jc w:val="center"/>
            </w:pPr>
            <w:r>
              <w:rPr>
                <w:sz w:val="18"/>
              </w:rPr>
              <w:t>2</w:t>
            </w:r>
          </w:p>
        </w:tc>
        <w:tc>
          <w:tcPr>
            <w:tcW w:type="dxa" w:w="2556"/>
          </w:tcPr>
          <w:p>
            <w:r>
              <w:rPr>
                <w:sz w:val="18"/>
              </w:rPr>
              <w:t>Terminal Handling Charge (THC)</w:t>
            </w:r>
          </w:p>
        </w:tc>
        <w:tc>
          <w:tcPr>
            <w:tcW w:type="dxa" w:w="2556"/>
          </w:tcPr>
          <w:p>
            <w:r>
              <w:rPr>
                <w:sz w:val="18"/>
              </w:rPr>
              <w:t>per 40HC</w:t>
            </w:r>
          </w:p>
        </w:tc>
        <w:tc>
          <w:tcPr>
            <w:tcW w:type="dxa" w:w="2556"/>
          </w:tcPr>
          <w:p>
            <w:r>
              <w:rPr>
                <w:b/>
                <w:sz w:val="18"/>
              </w:rPr>
              <w:t>142.00</w:t>
            </w:r>
          </w:p>
        </w:tc>
      </w:tr>
      <w:tr>
        <w:tc>
          <w:tcPr>
            <w:tcW w:type="dxa" w:w="2556"/>
          </w:tcPr>
          <w:p>
            <w:pPr>
              <w:jc w:val="center"/>
            </w:pPr>
            <w:r>
              <w:rPr>
                <w:sz w:val="18"/>
              </w:rPr>
              <w:t>3</w:t>
            </w:r>
          </w:p>
        </w:tc>
        <w:tc>
          <w:tcPr>
            <w:tcW w:type="dxa" w:w="2556"/>
          </w:tcPr>
          <w:p>
            <w:r>
              <w:rPr>
                <w:sz w:val="18"/>
              </w:rPr>
              <w:t>ISPS (Security Surcharge)</w:t>
            </w:r>
          </w:p>
        </w:tc>
        <w:tc>
          <w:tcPr>
            <w:tcW w:type="dxa" w:w="2556"/>
          </w:tcPr>
          <w:p>
            <w:r>
              <w:rPr>
                <w:sz w:val="18"/>
              </w:rPr>
              <w:t>per 40HC</w:t>
            </w:r>
          </w:p>
        </w:tc>
        <w:tc>
          <w:tcPr>
            <w:tcW w:type="dxa" w:w="2556"/>
          </w:tcPr>
          <w:p>
            <w:r>
              <w:rPr>
                <w:b/>
                <w:sz w:val="18"/>
              </w:rPr>
              <w:t>15.00</w:t>
            </w:r>
          </w:p>
        </w:tc>
      </w:tr>
      <w:tr>
        <w:tc>
          <w:tcPr>
            <w:tcW w:type="dxa" w:w="2556"/>
          </w:tcPr>
          <w:p>
            <w:pPr>
              <w:jc w:val="center"/>
            </w:pPr>
            <w:r>
              <w:rPr>
                <w:sz w:val="18"/>
              </w:rPr>
              <w:t>4</w:t>
            </w:r>
          </w:p>
        </w:tc>
        <w:tc>
          <w:tcPr>
            <w:tcW w:type="dxa" w:w="2556"/>
          </w:tcPr>
          <w:p>
            <w:r>
              <w:rPr>
                <w:sz w:val="18"/>
              </w:rPr>
              <w:t>Booking Fee</w:t>
            </w:r>
          </w:p>
        </w:tc>
        <w:tc>
          <w:tcPr>
            <w:tcW w:type="dxa" w:w="2556"/>
          </w:tcPr>
          <w:p>
            <w:r>
              <w:rPr>
                <w:sz w:val="18"/>
              </w:rPr>
              <w:t>per 40HC</w:t>
            </w:r>
          </w:p>
        </w:tc>
        <w:tc>
          <w:tcPr>
            <w:tcW w:type="dxa" w:w="2556"/>
          </w:tcPr>
          <w:p>
            <w:r>
              <w:rPr>
                <w:b/>
                <w:sz w:val="18"/>
              </w:rPr>
              <w:t>80.00</w:t>
            </w:r>
          </w:p>
        </w:tc>
      </w:tr>
      <w:tr>
        <w:tc>
          <w:tcPr>
            <w:tcW w:type="dxa" w:w="2556"/>
          </w:tcPr>
          <w:p>
            <w:pPr>
              <w:jc w:val="center"/>
            </w:pPr>
            <w:r>
              <w:rPr>
                <w:sz w:val="18"/>
              </w:rPr>
              <w:t>5</w:t>
            </w:r>
          </w:p>
        </w:tc>
        <w:tc>
          <w:tcPr>
            <w:tcW w:type="dxa" w:w="2556"/>
          </w:tcPr>
          <w:p>
            <w:r>
              <w:rPr>
                <w:sz w:val="18"/>
              </w:rPr>
              <w:t>Trucking (Origin Haulage)</w:t>
            </w:r>
          </w:p>
        </w:tc>
        <w:tc>
          <w:tcPr>
            <w:tcW w:type="dxa" w:w="2556"/>
          </w:tcPr>
          <w:p>
            <w:r>
              <w:rPr>
                <w:sz w:val="18"/>
              </w:rPr>
              <w:t>per 40HC</w:t>
            </w:r>
          </w:p>
        </w:tc>
        <w:tc>
          <w:tcPr>
            <w:tcW w:type="dxa" w:w="2556"/>
          </w:tcPr>
          <w:p>
            <w:r>
              <w:rPr>
                <w:b/>
                <w:sz w:val="18"/>
              </w:rPr>
              <w:t>300.00</w:t>
            </w:r>
          </w:p>
        </w:tc>
      </w:tr>
      <w:tr>
        <w:tc>
          <w:tcPr>
            <w:tcW w:type="dxa" w:w="2556"/>
          </w:tcPr>
          <w:p>
            <w:pPr>
              <w:jc w:val="center"/>
            </w:pPr>
            <w:r>
              <w:rPr>
                <w:sz w:val="18"/>
              </w:rPr>
              <w:t>6</w:t>
            </w:r>
          </w:p>
        </w:tc>
        <w:tc>
          <w:tcPr>
            <w:tcW w:type="dxa" w:w="2556"/>
          </w:tcPr>
          <w:p>
            <w:r>
              <w:rPr>
                <w:sz w:val="18"/>
              </w:rPr>
              <w:t>VGM (Verified Gross Mass)</w:t>
            </w:r>
          </w:p>
        </w:tc>
        <w:tc>
          <w:tcPr>
            <w:tcW w:type="dxa" w:w="2556"/>
          </w:tcPr>
          <w:p>
            <w:r>
              <w:rPr>
                <w:sz w:val="18"/>
              </w:rPr>
              <w:t>per 40HC</w:t>
            </w:r>
          </w:p>
        </w:tc>
        <w:tc>
          <w:tcPr>
            <w:tcW w:type="dxa" w:w="2556"/>
          </w:tcPr>
          <w:p>
            <w:r>
              <w:rPr>
                <w:b/>
                <w:sz w:val="18"/>
              </w:rPr>
              <w:t>10.00</w:t>
            </w:r>
          </w:p>
        </w:tc>
      </w:tr>
      <w:tr>
        <w:tc>
          <w:tcPr>
            <w:tcW w:type="dxa" w:w="2556"/>
          </w:tcPr>
          <w:p>
            <w:pPr>
              <w:jc w:val="center"/>
            </w:pPr>
            <w:r>
              <w:rPr>
                <w:sz w:val="18"/>
              </w:rPr>
              <w:t>7</w:t>
            </w:r>
          </w:p>
        </w:tc>
        <w:tc>
          <w:tcPr>
            <w:tcW w:type="dxa" w:w="2556"/>
          </w:tcPr>
          <w:p>
            <w:r>
              <w:rPr>
                <w:sz w:val="18"/>
              </w:rPr>
              <w:t>Seal Fee</w:t>
            </w:r>
          </w:p>
        </w:tc>
        <w:tc>
          <w:tcPr>
            <w:tcW w:type="dxa" w:w="2556"/>
          </w:tcPr>
          <w:p>
            <w:r>
              <w:rPr>
                <w:sz w:val="18"/>
              </w:rPr>
              <w:t>per 40HC</w:t>
            </w:r>
          </w:p>
        </w:tc>
        <w:tc>
          <w:tcPr>
            <w:tcW w:type="dxa" w:w="2556"/>
          </w:tcPr>
          <w:p>
            <w:r>
              <w:rPr>
                <w:b/>
                <w:sz w:val="18"/>
              </w:rPr>
              <w:t>10.00</w:t>
            </w:r>
          </w:p>
        </w:tc>
      </w:tr>
      <w:tr>
        <w:tc>
          <w:tcPr>
            <w:tcW w:type="dxa" w:w="2556"/>
          </w:tcPr>
          <w:p>
            <w:pPr>
              <w:jc w:val="center"/>
            </w:pPr>
            <w:r>
              <w:rPr>
                <w:sz w:val="18"/>
              </w:rPr>
              <w:t>8</w:t>
            </w:r>
          </w:p>
        </w:tc>
        <w:tc>
          <w:tcPr>
            <w:tcW w:type="dxa" w:w="2556"/>
          </w:tcPr>
          <w:p>
            <w:r>
              <w:rPr>
                <w:sz w:val="18"/>
              </w:rPr>
              <w:t>Container Yard / Warehouse Entry</w:t>
            </w:r>
          </w:p>
        </w:tc>
        <w:tc>
          <w:tcPr>
            <w:tcW w:type="dxa" w:w="2556"/>
          </w:tcPr>
          <w:p>
            <w:r>
              <w:rPr>
                <w:sz w:val="18"/>
              </w:rPr>
              <w:t>per CBM</w:t>
            </w:r>
          </w:p>
        </w:tc>
        <w:tc>
          <w:tcPr>
            <w:tcW w:type="dxa" w:w="2556"/>
          </w:tcPr>
          <w:p>
            <w:r>
              <w:rPr>
                <w:b/>
                <w:sz w:val="18"/>
              </w:rPr>
              <w:t>4.50</w:t>
            </w:r>
          </w:p>
        </w:tc>
      </w:tr>
      <w:tr>
        <w:tc>
          <w:tcPr>
            <w:tcW w:type="dxa" w:w="2556"/>
          </w:tcPr>
          <w:p>
            <w:pPr>
              <w:jc w:val="center"/>
            </w:pPr>
            <w:r>
              <w:rPr>
                <w:sz w:val="18"/>
              </w:rPr>
              <w:t>9</w:t>
            </w:r>
          </w:p>
        </w:tc>
        <w:tc>
          <w:tcPr>
            <w:tcW w:type="dxa" w:w="2556"/>
          </w:tcPr>
          <w:p>
            <w:r>
              <w:rPr>
                <w:sz w:val="18"/>
              </w:rPr>
              <w:t>Telex Release</w:t>
            </w:r>
          </w:p>
        </w:tc>
        <w:tc>
          <w:tcPr>
            <w:tcW w:type="dxa" w:w="2556"/>
          </w:tcPr>
          <w:p>
            <w:r>
              <w:rPr>
                <w:sz w:val="18"/>
              </w:rPr>
              <w:t>per B/L</w:t>
            </w:r>
          </w:p>
        </w:tc>
        <w:tc>
          <w:tcPr>
            <w:tcW w:type="dxa" w:w="2556"/>
          </w:tcPr>
          <w:p>
            <w:r>
              <w:rPr>
                <w:b/>
                <w:sz w:val="18"/>
              </w:rPr>
              <w:t>50.00</w:t>
            </w:r>
          </w:p>
        </w:tc>
      </w:tr>
      <w:tr>
        <w:tc>
          <w:tcPr>
            <w:tcW w:type="dxa" w:w="2556"/>
          </w:tcPr>
          <w:p>
            <w:pPr>
              <w:jc w:val="center"/>
            </w:pPr>
            <w:r>
              <w:rPr>
                <w:sz w:val="18"/>
              </w:rPr>
              <w:t>10</w:t>
            </w:r>
          </w:p>
        </w:tc>
        <w:tc>
          <w:tcPr>
            <w:tcW w:type="dxa" w:w="2556"/>
          </w:tcPr>
          <w:p>
            <w:r>
              <w:rPr>
                <w:sz w:val="18"/>
              </w:rPr>
              <w:t>Documentation Fee</w:t>
            </w:r>
          </w:p>
        </w:tc>
        <w:tc>
          <w:tcPr>
            <w:tcW w:type="dxa" w:w="2556"/>
          </w:tcPr>
          <w:p>
            <w:r>
              <w:rPr>
                <w:sz w:val="18"/>
              </w:rPr>
              <w:t>per B/L</w:t>
            </w:r>
          </w:p>
        </w:tc>
        <w:tc>
          <w:tcPr>
            <w:tcW w:type="dxa" w:w="2556"/>
          </w:tcPr>
          <w:p>
            <w:r>
              <w:rPr>
                <w:b/>
                <w:sz w:val="18"/>
              </w:rPr>
              <w:t>80.00</w:t>
            </w:r>
          </w:p>
        </w:tc>
      </w:tr>
      <w:tr>
        <w:tc>
          <w:tcPr>
            <w:tcW w:type="dxa" w:w="2556"/>
          </w:tcPr>
          <w:p>
            <w:pPr>
              <w:jc w:val="center"/>
            </w:pPr>
            <w:r>
              <w:rPr>
                <w:sz w:val="18"/>
              </w:rPr>
              <w:t>11</w:t>
            </w:r>
          </w:p>
        </w:tc>
        <w:tc>
          <w:tcPr>
            <w:tcW w:type="dxa" w:w="2556"/>
          </w:tcPr>
          <w:p>
            <w:r>
              <w:rPr>
                <w:sz w:val="18"/>
              </w:rPr>
              <w:t>Customs Clearance</w:t>
            </w:r>
          </w:p>
        </w:tc>
        <w:tc>
          <w:tcPr>
            <w:tcW w:type="dxa" w:w="2556"/>
          </w:tcPr>
          <w:p>
            <w:r>
              <w:rPr>
                <w:sz w:val="18"/>
              </w:rPr>
              <w:t>per B/L</w:t>
            </w:r>
          </w:p>
        </w:tc>
        <w:tc>
          <w:tcPr>
            <w:tcW w:type="dxa" w:w="2556"/>
          </w:tcPr>
          <w:p>
            <w:r>
              <w:rPr>
                <w:b/>
                <w:sz w:val="18"/>
              </w:rPr>
              <w:t>80.00</w:t>
            </w:r>
          </w:p>
        </w:tc>
      </w:tr>
      <w:tr>
        <w:tc>
          <w:tcPr>
            <w:tcW w:type="dxa" w:w="2556"/>
          </w:tcPr>
          <w:p>
            <w:pPr>
              <w:jc w:val="center"/>
            </w:pPr>
            <w:r>
              <w:rPr>
                <w:sz w:val="18"/>
              </w:rPr>
              <w:t>12</w:t>
            </w:r>
          </w:p>
        </w:tc>
        <w:tc>
          <w:tcPr>
            <w:tcW w:type="dxa" w:w="2556"/>
          </w:tcPr>
          <w:p>
            <w:r>
              <w:rPr>
                <w:sz w:val="18"/>
              </w:rPr>
              <w:t>Manifest</w:t>
            </w:r>
          </w:p>
        </w:tc>
        <w:tc>
          <w:tcPr>
            <w:tcW w:type="dxa" w:w="2556"/>
          </w:tcPr>
          <w:p>
            <w:r>
              <w:rPr>
                <w:sz w:val="18"/>
              </w:rPr>
              <w:t>per B/L</w:t>
            </w:r>
          </w:p>
        </w:tc>
        <w:tc>
          <w:tcPr>
            <w:tcW w:type="dxa" w:w="2556"/>
          </w:tcPr>
          <w:p>
            <w:r>
              <w:rPr>
                <w:b/>
                <w:sz w:val="18"/>
              </w:rPr>
              <w:t>20.00</w:t>
            </w:r>
          </w:p>
        </w:tc>
      </w:tr>
      <w:tr>
        <w:tc>
          <w:tcPr>
            <w:tcW w:type="dxa" w:w="2556"/>
          </w:tcPr>
          <w:p>
            <w:pPr>
              <w:jc w:val="center"/>
            </w:pPr>
            <w:r>
              <w:rPr>
                <w:sz w:val="18"/>
              </w:rPr>
              <w:t>13</w:t>
            </w:r>
          </w:p>
        </w:tc>
        <w:tc>
          <w:tcPr>
            <w:tcW w:type="dxa" w:w="2556"/>
          </w:tcPr>
          <w:p>
            <w:r>
              <w:rPr>
                <w:sz w:val="18"/>
              </w:rPr>
              <w:t>DTHC (Destination Terminal Handling)</w:t>
            </w:r>
          </w:p>
        </w:tc>
        <w:tc>
          <w:tcPr>
            <w:tcW w:type="dxa" w:w="2556"/>
          </w:tcPr>
          <w:p>
            <w:r>
              <w:rPr>
                <w:sz w:val="18"/>
              </w:rPr>
              <w:t>per 40HC</w:t>
            </w:r>
          </w:p>
        </w:tc>
        <w:tc>
          <w:tcPr>
            <w:tcW w:type="dxa" w:w="2556"/>
          </w:tcPr>
          <w:p>
            <w:r>
              <w:rPr>
                <w:b/>
                <w:sz w:val="18"/>
              </w:rPr>
              <w:t>120.00</w:t>
            </w:r>
          </w:p>
        </w:tc>
      </w:tr>
    </w:tbl>
    <w:p>
      <w:r>
        <w:rPr>
          <w:color w:val="888888"/>
          <w:sz w:val="16"/>
        </w:rPr>
        <w:t>Rates are quoted per 1 x 40'HC container unless otherwise stated, in USD. Charges billed per B/L (telex release, documentation, customs clearance, manifest) apply once per shipment, not per container. Warehouse entry is billed on actual cargo volume (CBM). The payable total is confirmed at booking against the final container count and cargo volume.</w:t>
      </w:r>
    </w:p>
    <w:p/>
    <w:p>
      <w:pPr>
        <w:jc w:val="center"/>
      </w:pPr>
      <w:r>
        <w:rPr>
          <w:b/>
          <w:color w:val="7A5C00"/>
          <w:sz w:val="20"/>
        </w:rPr>
        <w:t>All rates valid until September 14, 2026 - lock now to secure.</w:t>
      </w:r>
    </w:p>
    <w:p/>
    <w:p>
      <w:r>
        <w:rPr>
          <w:b/>
          <w:color w:val="1A2A6C"/>
          <w:sz w:val="22"/>
        </w:rPr>
        <w:t>SHIPMENT DETAILS</w:t>
      </w:r>
    </w:p>
    <w:tbl>
      <w:tblPr>
        <w:tblStyle w:val="TableGrid"/>
        <w:tblW w:type="auto" w:w="0"/>
        <w:tblLook w:firstColumn="1" w:firstRow="1" w:lastColumn="0" w:lastRow="0" w:noHBand="0" w:noVBand="1" w:val="04A0"/>
      </w:tblPr>
      <w:tblGrid>
        <w:gridCol w:w="5112"/>
        <w:gridCol w:w="5112"/>
      </w:tblGrid>
      <w:tr>
        <w:tc>
          <w:tcPr>
            <w:tcW w:type="dxa" w:w="5112"/>
          </w:tcPr>
          <w:p>
            <w:r>
              <w:rPr>
                <w:b/>
                <w:color w:val="888888"/>
                <w:sz w:val="18"/>
              </w:rPr>
              <w:t>Service Type</w:t>
            </w:r>
          </w:p>
        </w:tc>
        <w:tc>
          <w:tcPr>
            <w:tcW w:type="dxa" w:w="5112"/>
          </w:tcPr>
          <w:p>
            <w:r>
              <w:rPr>
                <w:sz w:val="18"/>
              </w:rPr>
              <w:t>Ocean Freight (FCL)</w:t>
            </w:r>
          </w:p>
        </w:tc>
      </w:tr>
      <w:tr>
        <w:tc>
          <w:tcPr>
            <w:tcW w:type="dxa" w:w="5112"/>
          </w:tcPr>
          <w:p>
            <w:r>
              <w:rPr>
                <w:b/>
                <w:color w:val="888888"/>
                <w:sz w:val="18"/>
              </w:rPr>
              <w:t>Carrier</w:t>
            </w:r>
          </w:p>
        </w:tc>
        <w:tc>
          <w:tcPr>
            <w:tcW w:type="dxa" w:w="5112"/>
          </w:tcPr>
          <w:p>
            <w:r>
              <w:rPr>
                <w:sz w:val="18"/>
              </w:rPr>
              <w:t>COSCO</w:t>
            </w:r>
          </w:p>
        </w:tc>
      </w:tr>
      <w:tr>
        <w:tc>
          <w:tcPr>
            <w:tcW w:type="dxa" w:w="5112"/>
          </w:tcPr>
          <w:p>
            <w:r>
              <w:rPr>
                <w:b/>
                <w:color w:val="888888"/>
                <w:sz w:val="18"/>
              </w:rPr>
              <w:t>Origin Port (POL)</w:t>
            </w:r>
          </w:p>
        </w:tc>
        <w:tc>
          <w:tcPr>
            <w:tcW w:type="dxa" w:w="5112"/>
          </w:tcPr>
          <w:p>
            <w:r>
              <w:rPr>
                <w:sz w:val="18"/>
              </w:rPr>
              <w:t>Shanghai, China (CNSHA)</w:t>
            </w:r>
          </w:p>
        </w:tc>
      </w:tr>
      <w:tr>
        <w:tc>
          <w:tcPr>
            <w:tcW w:type="dxa" w:w="5112"/>
          </w:tcPr>
          <w:p>
            <w:r>
              <w:rPr>
                <w:b/>
                <w:color w:val="888888"/>
                <w:sz w:val="18"/>
              </w:rPr>
              <w:t>Destination Port (POD)</w:t>
            </w:r>
          </w:p>
        </w:tc>
        <w:tc>
          <w:tcPr>
            <w:tcW w:type="dxa" w:w="5112"/>
          </w:tcPr>
          <w:p>
            <w:r>
              <w:rPr>
                <w:sz w:val="18"/>
              </w:rPr>
              <w:t>San Antonio, Chile (CLSAI)</w:t>
            </w:r>
          </w:p>
        </w:tc>
      </w:tr>
      <w:tr>
        <w:tc>
          <w:tcPr>
            <w:tcW w:type="dxa" w:w="5112"/>
          </w:tcPr>
          <w:p>
            <w:r>
              <w:rPr>
                <w:b/>
                <w:color w:val="888888"/>
                <w:sz w:val="18"/>
              </w:rPr>
              <w:t>Container Type</w:t>
            </w:r>
          </w:p>
        </w:tc>
        <w:tc>
          <w:tcPr>
            <w:tcW w:type="dxa" w:w="5112"/>
          </w:tcPr>
          <w:p>
            <w:r>
              <w:rPr>
                <w:sz w:val="18"/>
              </w:rPr>
              <w:t>1 x 40HC</w:t>
            </w:r>
          </w:p>
        </w:tc>
      </w:tr>
      <w:tr>
        <w:tc>
          <w:tcPr>
            <w:tcW w:type="dxa" w:w="5112"/>
          </w:tcPr>
          <w:p>
            <w:r>
              <w:rPr>
                <w:b/>
                <w:color w:val="888888"/>
                <w:sz w:val="18"/>
              </w:rPr>
              <w:t>Transit Time</w:t>
            </w:r>
          </w:p>
        </w:tc>
        <w:tc>
          <w:tcPr>
            <w:tcW w:type="dxa" w:w="5112"/>
          </w:tcPr>
          <w:p>
            <w:r>
              <w:rPr>
                <w:sz w:val="18"/>
              </w:rPr>
              <w:t>36 Days</w:t>
            </w:r>
          </w:p>
        </w:tc>
      </w:tr>
      <w:tr>
        <w:tc>
          <w:tcPr>
            <w:tcW w:type="dxa" w:w="5112"/>
          </w:tcPr>
          <w:p>
            <w:r>
              <w:rPr>
                <w:b/>
                <w:color w:val="888888"/>
                <w:sz w:val="18"/>
              </w:rPr>
              <w:t>Vessel Frequency</w:t>
            </w:r>
          </w:p>
        </w:tc>
        <w:tc>
          <w:tcPr>
            <w:tcW w:type="dxa" w:w="5112"/>
          </w:tcPr>
          <w:p>
            <w:r>
              <w:rPr>
                <w:sz w:val="18"/>
              </w:rPr>
              <w:t>Weekly - every Wednesday</w:t>
            </w:r>
          </w:p>
        </w:tc>
      </w:tr>
      <w:tr>
        <w:tc>
          <w:tcPr>
            <w:tcW w:type="dxa" w:w="5112"/>
          </w:tcPr>
          <w:p>
            <w:r>
              <w:rPr>
                <w:b/>
                <w:color w:val="888888"/>
                <w:sz w:val="18"/>
              </w:rPr>
              <w:t>Free Time - Warehouse</w:t>
            </w:r>
          </w:p>
        </w:tc>
        <w:tc>
          <w:tcPr>
            <w:tcW w:type="dxa" w:w="5112"/>
          </w:tcPr>
          <w:p>
            <w:r>
              <w:rPr>
                <w:sz w:val="18"/>
              </w:rPr>
              <w:t>15 Days</w:t>
            </w:r>
          </w:p>
        </w:tc>
      </w:tr>
      <w:tr>
        <w:tc>
          <w:tcPr>
            <w:tcW w:type="dxa" w:w="5112"/>
          </w:tcPr>
          <w:p>
            <w:r>
              <w:rPr>
                <w:b/>
                <w:color w:val="888888"/>
                <w:sz w:val="18"/>
              </w:rPr>
              <w:t>Free Time - Destination</w:t>
            </w:r>
          </w:p>
        </w:tc>
        <w:tc>
          <w:tcPr>
            <w:tcW w:type="dxa" w:w="5112"/>
          </w:tcPr>
          <w:p>
            <w:r>
              <w:rPr>
                <w:sz w:val="18"/>
              </w:rPr>
              <w:t>21 Days</w:t>
            </w:r>
          </w:p>
        </w:tc>
      </w:tr>
      <w:tr>
        <w:tc>
          <w:tcPr>
            <w:tcW w:type="dxa" w:w="5112"/>
          </w:tcPr>
          <w:p>
            <w:r>
              <w:rPr>
                <w:b/>
                <w:color w:val="888888"/>
                <w:sz w:val="18"/>
              </w:rPr>
              <w:t>Currency</w:t>
            </w:r>
          </w:p>
        </w:tc>
        <w:tc>
          <w:tcPr>
            <w:tcW w:type="dxa" w:w="5112"/>
          </w:tcPr>
          <w:p>
            <w:r>
              <w:rPr>
                <w:sz w:val="18"/>
              </w:rPr>
              <w:t>USD</w:t>
            </w:r>
          </w:p>
        </w:tc>
      </w:tr>
      <w:tr>
        <w:tc>
          <w:tcPr>
            <w:tcW w:type="dxa" w:w="5112"/>
          </w:tcPr>
          <w:p>
            <w:r>
              <w:rPr>
                <w:b/>
                <w:color w:val="888888"/>
                <w:sz w:val="18"/>
              </w:rPr>
              <w:t>Validity</w:t>
            </w:r>
          </w:p>
        </w:tc>
        <w:tc>
          <w:tcPr>
            <w:tcW w:type="dxa" w:w="5112"/>
          </w:tcPr>
          <w:p>
            <w:r>
              <w:rPr>
                <w:sz w:val="18"/>
              </w:rPr>
              <w:t>September 14, 2026</w:t>
            </w:r>
          </w:p>
        </w:tc>
      </w:tr>
    </w:tbl>
    <w:p/>
    <w:p>
      <w:r>
        <w:rPr>
          <w:b/>
          <w:color w:val="1A2A6C"/>
          <w:sz w:val="22"/>
        </w:rPr>
        <w:t>TERMS &amp; REMARKS</w:t>
      </w:r>
    </w:p>
    <w:p>
      <w:pPr>
        <w:pStyle w:val="ListBullet"/>
      </w:pPr>
      <w:r>
        <w:rPr>
          <w:sz w:val="18"/>
        </w:rPr>
        <w:t>Ocean freight USD 6,300 per 40'HC from Shanghai, in USD.</w:t>
      </w:r>
    </w:p>
    <w:p>
      <w:pPr>
        <w:pStyle w:val="ListBullet"/>
      </w:pPr>
      <w:r>
        <w:rPr>
          <w:sz w:val="18"/>
        </w:rPr>
        <w:t>Per-B/L charges (telex release USD 50, documentation USD 80, customs clearance USD 80, manifest USD 20) are billed once per bill of lading, regardless of container count.</w:t>
      </w:r>
    </w:p>
    <w:p>
      <w:pPr>
        <w:pStyle w:val="ListBullet"/>
      </w:pPr>
      <w:r>
        <w:rPr>
          <w:sz w:val="18"/>
        </w:rPr>
        <w:t>Warehouse entry: USD 4.5 per CBM, with 15 days free time at the warehouse.</w:t>
      </w:r>
    </w:p>
    <w:p>
      <w:pPr>
        <w:pStyle w:val="ListBullet"/>
      </w:pPr>
      <w:r>
        <w:rPr>
          <w:sz w:val="18"/>
        </w:rPr>
        <w:t>Destination THC USD 120 per 40'HC; 21 days free time at destination.</w:t>
      </w:r>
    </w:p>
    <w:p>
      <w:pPr>
        <w:pStyle w:val="ListBullet"/>
      </w:pPr>
      <w:r>
        <w:rPr>
          <w:sz w:val="18"/>
        </w:rPr>
        <w:t>Sailing frequency: every Wednesday, subject to carrier schedule and space availability.</w:t>
      </w:r>
    </w:p>
    <w:p>
      <w:pPr>
        <w:pStyle w:val="ListBullet"/>
      </w:pPr>
      <w:r>
        <w:rPr>
          <w:sz w:val="18"/>
        </w:rPr>
        <w:t>Freight rates are subject to space availability and carrier schedule at time of booking.</w:t>
      </w:r>
    </w:p>
    <w:p>
      <w:pPr>
        <w:pStyle w:val="ListBullet"/>
      </w:pPr>
      <w:r>
        <w:rPr>
          <w:sz w:val="18"/>
        </w:rPr>
        <w:t>Import duties, taxes, and any charges not listed above are not included.</w:t>
      </w:r>
    </w:p>
    <w:p>
      <w:pPr>
        <w:pStyle w:val="ListBullet"/>
      </w:pPr>
      <w:r>
        <w:rPr>
          <w:sz w:val="18"/>
        </w:rPr>
        <w:t>Transit time of 36 days is an estimate and may vary with carrier schedules and routing.</w:t>
      </w:r>
    </w:p>
    <w:p/>
    <w:p>
      <w:pPr>
        <w:jc w:val="center"/>
      </w:pPr>
      <w:r>
        <w:rPr>
          <w:b/>
          <w:color w:val="C0392B"/>
          <w:sz w:val="22"/>
        </w:rPr>
        <w:t>Lock This Rate - WhatsApp Aaron: +86 158 1850 5125</w:t>
      </w:r>
    </w:p>
    <w:p/>
    <w:p>
      <w:pPr>
        <w:jc w:val="center"/>
      </w:pPr>
      <w:r>
        <w:rPr>
          <w:color w:val="888888"/>
          <w:sz w:val="16"/>
        </w:rPr>
        <w:t>SHAQ Logistics - Room 3702, Long Park Chong Chin Building, No. 2010 Bao'an South Road, Luohu District, Shenzhen, China | search.shaq-logistics.com</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