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rFonts w:ascii="Calibri" w:hAnsi="Calibri"/>
          <w:color w:val="777777"/>
          <w:sz w:val="18"/>
        </w:rPr>
        <w:t>SMART FREIGHT RATE PLATFORM</w:t>
      </w:r>
    </w:p>
    <w:p>
      <w:pPr>
        <w:spacing w:after="0"/>
        <w:jc w:val="right"/>
      </w:pPr>
      <w:r>
        <w:rPr>
          <w:b/>
          <w:color w:val="1A2A6C"/>
          <w:sz w:val="36"/>
        </w:rPr>
        <w:t>FREIGHT QUOTE</w:t>
      </w:r>
    </w:p>
    <w:p>
      <w:pPr>
        <w:spacing w:after="160"/>
        <w:jc w:val="right"/>
      </w:pPr>
      <w:r>
        <w:rPr>
          <w:b/>
          <w:color w:val="555555"/>
          <w:sz w:val="22"/>
        </w:rPr>
        <w:t>No. SHAQ-SHA-NSA-260917</w:t>
      </w:r>
    </w:p>
    <w:p>
      <w:pPr>
        <w:spacing w:after="40"/>
      </w:pPr>
      <w:r>
        <w:rPr>
          <w:rFonts w:ascii="Calibri" w:hAnsi="Calibri"/>
          <w:b/>
          <w:sz w:val="20"/>
        </w:rPr>
        <w:t xml:space="preserve">Quote Date: </w:t>
      </w:r>
      <w:r>
        <w:rPr>
          <w:rFonts w:ascii="Calibri" w:hAnsi="Calibri"/>
          <w:sz w:val="20"/>
        </w:rPr>
        <w:t>September 17, 2026</w:t>
      </w:r>
    </w:p>
    <w:p>
      <w:pPr>
        <w:spacing w:after="40"/>
      </w:pPr>
      <w:r>
        <w:rPr>
          <w:rFonts w:ascii="Calibri" w:hAnsi="Calibri"/>
          <w:b/>
          <w:sz w:val="20"/>
        </w:rPr>
        <w:t xml:space="preserve">Valid Until: </w:t>
      </w:r>
      <w:r>
        <w:rPr>
          <w:rFonts w:ascii="Calibri" w:hAnsi="Calibri"/>
          <w:sz w:val="20"/>
        </w:rPr>
        <w:t>September 26, 2026</w:t>
      </w:r>
    </w:p>
    <w:p>
      <w:pPr>
        <w:spacing w:after="40"/>
      </w:pPr>
      <w:r>
        <w:rPr>
          <w:rFonts w:ascii="Calibri" w:hAnsi="Calibri"/>
          <w:b/>
          <w:sz w:val="20"/>
        </w:rPr>
        <w:t xml:space="preserve">Issued By: </w:t>
      </w:r>
      <w:r>
        <w:rPr>
          <w:rFonts w:ascii="Calibri" w:hAnsi="Calibri"/>
          <w:sz w:val="20"/>
        </w:rPr>
        <w:t>Aaron — SHAQ Logistics | WhatsApp: +86 158 1850 5125</w:t>
      </w:r>
    </w:p>
    <w:p>
      <w:pPr>
        <w:spacing w:after="40"/>
      </w:pPr>
      <w:r>
        <w:rPr>
          <w:rFonts w:ascii="Calibri" w:hAnsi="Calibri"/>
          <w:b/>
          <w:sz w:val="20"/>
        </w:rPr>
        <w:t xml:space="preserve">Route: </w:t>
      </w:r>
      <w:r>
        <w:rPr>
          <w:rFonts w:ascii="Calibri" w:hAnsi="Calibri"/>
          <w:sz w:val="20"/>
        </w:rPr>
        <w:t>Shanghai, China (CNSHA)  →  Nhava Sheva, India (INNSA)  |  RCL  |  1 x 20GP</w:t>
      </w:r>
    </w:p>
    <w:p>
      <w:pPr>
        <w:spacing w:after="120"/>
      </w:pPr>
      <w:r>
        <w:rPr>
          <w:b/>
          <w:color w:val="1A2A6C"/>
          <w:sz w:val="24"/>
        </w:rPr>
        <w:t>Ocean Freight Rates — Shanghai to Nhava Sheva (USD)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#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Ocean Freight — Shanghai to Nhava Sheva (1 x 20GP)</w:t>
            </w:r>
          </w:p>
        </w:tc>
        <w:tc>
          <w:tcPr>
            <w:tcW w:type="dxa" w:w="1728"/>
          </w:tcPr>
          <w:p>
            <w:r>
              <w:t>1 x 20'</w:t>
            </w:r>
          </w:p>
        </w:tc>
        <w:tc>
          <w:tcPr>
            <w:tcW w:type="dxa" w:w="1728"/>
          </w:tcPr>
          <w:p>
            <w:r>
              <w:t>4,300.00</w:t>
            </w:r>
          </w:p>
        </w:tc>
        <w:tc>
          <w:tcPr>
            <w:tcW w:type="dxa" w:w="1728"/>
          </w:tcPr>
          <w:p>
            <w:r>
              <w:t>4,300.00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Telex Release (per B/L)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80.00</w:t>
            </w:r>
          </w:p>
        </w:tc>
        <w:tc>
          <w:tcPr>
            <w:tcW w:type="dxa" w:w="1728"/>
          </w:tcPr>
          <w:p>
            <w:r>
              <w:t>80.00</w:t>
            </w:r>
          </w:p>
        </w:tc>
      </w:tr>
      <w:tr>
        <w:tc>
          <w:tcPr>
            <w:tcW w:type="dxa" w:w="6912"/>
            <w:gridSpan w:val="4"/>
          </w:tcPr>
          <w:p/>
        </w:tc>
        <w:tc>
          <w:tcPr>
            <w:tcW w:type="dxa" w:w="1728"/>
          </w:tcPr>
          <w:p>
            <w:r>
              <w:rPr>
                <w:b/>
                <w:color w:val="C0392B"/>
              </w:rPr>
              <w:t>4,380.00</w:t>
            </w:r>
          </w:p>
        </w:tc>
      </w:tr>
    </w:tbl>
    <w:p>
      <w:pPr>
        <w:spacing w:after="120"/>
      </w:pPr>
      <w:r>
        <w:rPr>
          <w:b/>
          <w:color w:val="1A2A6C"/>
          <w:sz w:val="24"/>
        </w:rP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4320"/>
          </w:tcPr>
          <w:p>
            <w:r>
              <w:t>RCL (Regional Container Lines)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Origin Port</w:t>
            </w:r>
          </w:p>
        </w:tc>
        <w:tc>
          <w:tcPr>
            <w:tcW w:type="dxa" w:w="4320"/>
          </w:tcPr>
          <w:p>
            <w:r>
              <w:t>Shanghai, China (CNSHA)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Destination Port</w:t>
            </w:r>
          </w:p>
        </w:tc>
        <w:tc>
          <w:tcPr>
            <w:tcW w:type="dxa" w:w="4320"/>
          </w:tcPr>
          <w:p>
            <w:r>
              <w:t>Nhava Sheva, India (INNSA)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Container Type</w:t>
            </w:r>
          </w:p>
        </w:tc>
        <w:tc>
          <w:tcPr>
            <w:tcW w:type="dxa" w:w="4320"/>
          </w:tcPr>
          <w:p>
            <w:r>
              <w:t>1 x 20GP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Telex Release</w:t>
            </w:r>
          </w:p>
        </w:tc>
        <w:tc>
          <w:tcPr>
            <w:tcW w:type="dxa" w:w="4320"/>
          </w:tcPr>
          <w:p>
            <w:r>
              <w:t>USD 80 / B/L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Free Time</w:t>
            </w:r>
          </w:p>
        </w:tc>
        <w:tc>
          <w:tcPr>
            <w:tcW w:type="dxa" w:w="4320"/>
          </w:tcPr>
          <w:p>
            <w:r>
              <w:t>14 Days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Transit Time</w:t>
            </w:r>
          </w:p>
        </w:tc>
        <w:tc>
          <w:tcPr>
            <w:tcW w:type="dxa" w:w="4320"/>
          </w:tcPr>
          <w:p>
            <w:r>
              <w:t>17 Days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ETD</w:t>
            </w:r>
          </w:p>
        </w:tc>
        <w:tc>
          <w:tcPr>
            <w:tcW w:type="dxa" w:w="4320"/>
          </w:tcPr>
          <w:p>
            <w:r>
              <w:t>September 26,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Term</w:t>
            </w:r>
          </w:p>
        </w:tc>
        <w:tc>
          <w:tcPr>
            <w:tcW w:type="dxa" w:w="4320"/>
          </w:tcPr>
          <w:p>
            <w:r>
              <w:t>FOB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Validity</w:t>
            </w:r>
          </w:p>
        </w:tc>
        <w:tc>
          <w:tcPr>
            <w:tcW w:type="dxa" w:w="4320"/>
          </w:tcPr>
          <w:p>
            <w:r>
              <w:t>September 26, 2026</w:t>
            </w:r>
          </w:p>
        </w:tc>
      </w:tr>
    </w:tbl>
    <w:p>
      <w:pPr>
        <w:spacing w:after="120"/>
      </w:pPr>
      <w:r>
        <w:rPr>
          <w:b/>
          <w:color w:val="1A2A6C"/>
          <w:sz w:val="24"/>
        </w:rPr>
        <w:t>Terms &amp; Remarks</w:t>
      </w:r>
    </w:p>
    <w:p>
      <w:pPr>
        <w:pStyle w:val="ListBullet"/>
      </w:pPr>
      <w:r>
        <w:t>Rate is per 20' container, from Shanghai, in USD.</w:t>
      </w:r>
    </w:p>
    <w:p>
      <w:pPr>
        <w:pStyle w:val="ListBullet"/>
      </w:pPr>
      <w:r>
        <w:t>Telex release fee: USD 80 per B/L.</w:t>
      </w:r>
    </w:p>
    <w:p>
      <w:pPr>
        <w:pStyle w:val="ListBullet"/>
      </w:pPr>
      <w:r>
        <w:t>Free time: 14 days at destination.</w:t>
      </w:r>
    </w:p>
    <w:p>
      <w:pPr>
        <w:pStyle w:val="ListBullet"/>
      </w:pPr>
      <w:r>
        <w:t>ETD: September 26, 2026 (FOB terms).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Import duties, taxes, and destination charges are not included.</w:t>
      </w:r>
    </w:p>
    <w:p>
      <w:pPr>
        <w:pStyle w:val="ListBullet"/>
      </w:pPr>
      <w:r>
        <w:t>Transit times are estimates and may vary with carrier schedules and routing.</w:t>
      </w:r>
    </w:p>
    <w:p>
      <w:r>
        <w:rPr>
          <w:color w:val="888888"/>
          <w:sz w:val="18"/>
        </w:rPr>
        <w:t>SHAQ Logistics — Room 3702, Long Park Chong Chin Building, No. 2010 Bao'an South Road, Luohu District, Shenzhen, China  |  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