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777777"/>
          <w:sz w:val="20"/>
        </w:rPr>
        <w:t xml:space="preserve">  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color w:val="555555"/>
          <w:sz w:val="22"/>
        </w:rPr>
        <w:t>No. SHAQ-SHA-AMD-260906</w:t>
      </w:r>
    </w:p>
    <w:p>
      <w:r>
        <w:rPr>
          <w:b/>
        </w:rPr>
        <w:t xml:space="preserve">Quote Date: </w:t>
      </w:r>
      <w:r>
        <w:t>September 6, 2026</w:t>
      </w:r>
    </w:p>
    <w:p>
      <w:r>
        <w:rPr>
          <w:b/>
        </w:rPr>
        <w:t xml:space="preserve">Valid Until: </w:t>
      </w:r>
      <w:r>
        <w:t>September 17, 2026</w:t>
      </w:r>
    </w:p>
    <w:p>
      <w:r>
        <w:rPr>
          <w:b/>
        </w:rPr>
        <w:t xml:space="preserve">Issued By: </w:t>
      </w:r>
      <w:r>
        <w:t>Aaron — SHAQ Logistics | WhatsApp: +86 158 1850 5125</w:t>
      </w:r>
    </w:p>
    <w:p>
      <w:r>
        <w:rPr>
          <w:b/>
        </w:rPr>
        <w:t xml:space="preserve">Route: </w:t>
      </w:r>
      <w:r>
        <w:t>Shanghai, China (SHA)  →  Ahmedabad ICD, India (AMD)  —  5 × 40HC</w:t>
      </w:r>
    </w:p>
    <w:p>
      <w:r>
        <w:rPr>
          <w:b/>
          <w:color w:val="7A5C00"/>
        </w:rPr>
        <w:t>All local charges valid until September 17, 2026 — lock now to secure.</w:t>
      </w:r>
    </w:p>
    <w:p>
      <w:r>
        <w:rPr>
          <w:b/>
        </w:rPr>
        <w:t>Origin Local Charges — Shanghai to Ahmedabad ICD (RMB)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Basis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Shipping Agent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300.00</w:t>
            </w:r>
          </w:p>
        </w:tc>
        <w:tc>
          <w:tcPr>
            <w:tcW w:type="dxa" w:w="1440"/>
          </w:tcPr>
          <w:p>
            <w:r>
              <w:t>300.00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Document (DOC)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500.00</w:t>
            </w:r>
          </w:p>
        </w:tc>
        <w:tc>
          <w:tcPr>
            <w:tcW w:type="dxa" w:w="1440"/>
          </w:tcPr>
          <w:p>
            <w:r>
              <w:t>500.00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Manifest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100.00</w:t>
            </w:r>
          </w:p>
        </w:tc>
        <w:tc>
          <w:tcPr>
            <w:tcW w:type="dxa" w:w="1440"/>
          </w:tcPr>
          <w:p>
            <w:r>
              <w:t>100.00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Telex Release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450.00</w:t>
            </w:r>
          </w:p>
        </w:tc>
        <w:tc>
          <w:tcPr>
            <w:tcW w:type="dxa" w:w="1440"/>
          </w:tcPr>
          <w:p>
            <w:r>
              <w:t>450.00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THC</w:t>
            </w:r>
          </w:p>
        </w:tc>
        <w:tc>
          <w:tcPr>
            <w:tcW w:type="dxa" w:w="1440"/>
          </w:tcPr>
          <w:p>
            <w:r>
              <w:t>per 40HC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950.00</w:t>
            </w:r>
          </w:p>
        </w:tc>
        <w:tc>
          <w:tcPr>
            <w:tcW w:type="dxa" w:w="1440"/>
          </w:tcPr>
          <w:p>
            <w:r>
              <w:t>4,750.00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Seal</w:t>
            </w:r>
          </w:p>
        </w:tc>
        <w:tc>
          <w:tcPr>
            <w:tcW w:type="dxa" w:w="1440"/>
          </w:tcPr>
          <w:p>
            <w:r>
              <w:t>per 40HC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55.00</w:t>
            </w:r>
          </w:p>
        </w:tc>
        <w:tc>
          <w:tcPr>
            <w:tcW w:type="dxa" w:w="1440"/>
          </w:tcPr>
          <w:p>
            <w:r>
              <w:t>275.00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ISPS</w:t>
            </w:r>
          </w:p>
        </w:tc>
        <w:tc>
          <w:tcPr>
            <w:tcW w:type="dxa" w:w="1440"/>
          </w:tcPr>
          <w:p>
            <w:r>
              <w:t>per 40HC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102.00</w:t>
            </w:r>
          </w:p>
        </w:tc>
        <w:tc>
          <w:tcPr>
            <w:tcW w:type="dxa" w:w="1440"/>
          </w:tcPr>
          <w:p>
            <w:r>
              <w:t>510.00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Booking</w:t>
            </w:r>
          </w:p>
        </w:tc>
        <w:tc>
          <w:tcPr>
            <w:tcW w:type="dxa" w:w="1440"/>
          </w:tcPr>
          <w:p>
            <w:r>
              <w:t>per 40HC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535.00</w:t>
            </w:r>
          </w:p>
        </w:tc>
        <w:tc>
          <w:tcPr>
            <w:tcW w:type="dxa" w:w="1440"/>
          </w:tcPr>
          <w:p>
            <w:r>
              <w:t>2,675.00</w:t>
            </w:r>
          </w:p>
        </w:tc>
      </w:tr>
      <w:tr>
        <w:tc>
          <w:tcPr>
            <w:tcW w:type="dxa" w:w="1440"/>
          </w:tcPr>
          <w:p>
            <w:r>
              <w:rPr>
                <w:b/>
                <w:color w:val="C0392B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  <w:t>TOTAL</w:t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  <w:t>9,560.00</w:t>
            </w:r>
          </w:p>
        </w:tc>
      </w:tr>
    </w:tbl>
    <w:p>
      <w:r>
        <w:rPr>
          <w:b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Export Local Charges (FCL)</w:t>
            </w:r>
          </w:p>
        </w:tc>
      </w:tr>
      <w:tr>
        <w:tc>
          <w:tcPr>
            <w:tcW w:type="dxa" w:w="4320"/>
          </w:tcPr>
          <w:p>
            <w:r>
              <w:t>Origin</w:t>
            </w:r>
          </w:p>
        </w:tc>
        <w:tc>
          <w:tcPr>
            <w:tcW w:type="dxa" w:w="4320"/>
          </w:tcPr>
          <w:p>
            <w:r>
              <w:t>Shanghai, China (CNSHA)</w:t>
            </w:r>
          </w:p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>
            <w:r>
              <w:t>Ahmedabad ICD, India (INAMD)</w:t>
            </w:r>
          </w:p>
        </w:tc>
      </w:tr>
      <w:tr>
        <w:tc>
          <w:tcPr>
            <w:tcW w:type="dxa" w:w="4320"/>
          </w:tcPr>
          <w:p>
            <w:r>
              <w:t>Container</w:t>
            </w:r>
          </w:p>
        </w:tc>
        <w:tc>
          <w:tcPr>
            <w:tcW w:type="dxa" w:w="4320"/>
          </w:tcPr>
          <w:p>
            <w:r>
              <w:t>5 × 40HC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RMB (CNY)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September 17, 2026</w:t>
            </w:r>
          </w:p>
        </w:tc>
      </w:tr>
    </w:tbl>
    <w:p>
      <w:r>
        <w:rPr>
          <w:b/>
        </w:rPr>
        <w:t>Terms &amp; Remarks</w:t>
      </w:r>
    </w:p>
    <w:p>
      <w:pPr>
        <w:pStyle w:val="ListBullet"/>
      </w:pPr>
      <w:r>
        <w:t>All charges are Shanghai origin local charges, quoted in RMB.</w:t>
      </w:r>
    </w:p>
    <w:p>
      <w:pPr>
        <w:pStyle w:val="ListBullet"/>
      </w:pPr>
      <w:r>
        <w:t>THC, Seal, ISPS and Booking are charged per 40HC × 5 containers.</w:t>
      </w:r>
    </w:p>
    <w:p>
      <w:pPr>
        <w:pStyle w:val="ListBullet"/>
      </w:pPr>
      <w:r>
        <w:t>Shipping Agent, DOC, Manifest and Telex Release are charged per B/L (per shipment).</w:t>
      </w:r>
    </w:p>
    <w:p>
      <w:pPr>
        <w:pStyle w:val="ListBullet"/>
      </w:pPr>
      <w:r>
        <w:t>Telex release fee applies only if telex release is requested.</w:t>
      </w:r>
    </w:p>
    <w:p>
      <w:pPr>
        <w:pStyle w:val="ListBullet"/>
      </w:pPr>
      <w:r>
        <w:t>Excludes ocean freight, destination charges, import duties and taxes.</w:t>
      </w:r>
    </w:p>
    <w:p>
      <w:pPr>
        <w:pStyle w:val="ListBullet"/>
      </w:pPr>
      <w:r>
        <w:t>Local charges are subject to port tariff updates and carrier schedule at time of booking.</w:t>
      </w:r>
    </w:p>
    <w:p>
      <w:pPr>
        <w:pStyle w:val="ListBullet"/>
      </w:pPr>
      <w:r>
        <w:t>This quote is valid until September 17, 2026.</w:t>
      </w:r>
    </w:p>
    <w:p/>
    <w:p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p>
      <w:r>
        <w:rPr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