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4D8C"/>
          <w:sz w:val="40"/>
        </w:rPr>
        <w:t>SHAQ LOGISTICS</w:t>
      </w:r>
      <w:r>
        <w:rPr>
          <w:color w:val="5B6B7B"/>
          <w:sz w:val="20"/>
        </w:rPr>
        <w:t xml:space="preserve">  ·  Smart Freight Rate Platform</w:t>
      </w:r>
    </w:p>
    <w:p>
      <w:r>
        <w:rPr>
          <w:b/>
          <w:color w:val="16202B"/>
          <w:sz w:val="44"/>
        </w:rPr>
        <w:t>FREIGHT QUOTE</w:t>
      </w:r>
    </w:p>
    <w:p>
      <w:r>
        <w:rPr>
          <w:b/>
          <w:color w:val="0A4D8C"/>
          <w:sz w:val="24"/>
        </w:rPr>
        <w:t>Quote No. SHAQ-QDO-JEA-260916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  <w:color w:val="5B6B7B"/>
                <w:sz w:val="18"/>
              </w:rPr>
              <w:t>Quote Date</w:t>
            </w:r>
          </w:p>
          <w:p>
            <w:r>
              <w:rPr>
                <w:b/>
                <w:color w:val="16202B"/>
                <w:sz w:val="22"/>
              </w:rPr>
              <w:t>September 16, 2026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5B6B7B"/>
                <w:sz w:val="18"/>
              </w:rPr>
              <w:t>Valid Until</w:t>
            </w:r>
          </w:p>
          <w:p>
            <w:r>
              <w:rPr>
                <w:b/>
                <w:color w:val="16202B"/>
                <w:sz w:val="22"/>
              </w:rPr>
              <w:t>September 20, 2026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5B6B7B"/>
                <w:sz w:val="18"/>
              </w:rPr>
              <w:t>Issued By</w:t>
            </w:r>
          </w:p>
          <w:p>
            <w:r>
              <w:rPr>
                <w:b/>
                <w:color w:val="16202B"/>
                <w:sz w:val="22"/>
              </w:rPr>
              <w:t>Aaron — SHAQ Logistics</w:t>
              <w:br/>
              <w:t>WhatsApp: +86 158 1850 5125</w:t>
            </w:r>
          </w:p>
        </w:tc>
      </w:tr>
    </w:tbl>
    <w:p>
      <w:r>
        <w:rPr>
          <w:b/>
          <w:color w:val="0A4D8C"/>
          <w:sz w:val="26"/>
        </w:rPr>
        <w:t>Route</w:t>
      </w:r>
    </w:p>
    <w:p>
      <w:r>
        <w:rPr>
          <w:b/>
          <w:color w:val="16202B"/>
          <w:sz w:val="24"/>
        </w:rPr>
        <w:t>QDO  Qingdao, China (CNQDG)   ➔   JEA  Jebel Ali, UAE (AEJEA)   ➔   1 x 40'  ·  FOB</w:t>
      </w:r>
    </w:p>
    <w:p>
      <w:r>
        <w:rPr>
          <w:b/>
          <w:color w:val="D92B2B"/>
          <w:sz w:val="22"/>
        </w:rPr>
        <w:t>All rates valid until September 20, 2026 — lock now to secure.</w:t>
      </w:r>
    </w:p>
    <w:p>
      <w:r>
        <w:rPr>
          <w:b/>
          <w:color w:val="0A4D8C"/>
          <w:sz w:val="26"/>
        </w:rPr>
        <w:t>Ocean Freight Rates — Qingdao to Jebel Ali (USD per Container)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/>
            <w:r>
              <w:rPr>
                <w:b/>
                <w:sz w:val="18"/>
              </w:rPr>
              <w:t>#</w:t>
            </w:r>
          </w:p>
        </w:tc>
        <w:tc>
          <w:tcPr>
            <w:tcW w:type="dxa" w:w="960"/>
          </w:tcPr>
          <w:p>
            <w:r/>
            <w:r>
              <w:rPr>
                <w:b/>
                <w:sz w:val="18"/>
              </w:rPr>
              <w:t>Destination</w:t>
            </w:r>
          </w:p>
        </w:tc>
        <w:tc>
          <w:tcPr>
            <w:tcW w:type="dxa" w:w="960"/>
          </w:tcPr>
          <w:p>
            <w:r/>
            <w:r>
              <w:rPr>
                <w:b/>
                <w:sz w:val="18"/>
              </w:rPr>
              <w:t>Port Code</w:t>
            </w:r>
          </w:p>
        </w:tc>
        <w:tc>
          <w:tcPr>
            <w:tcW w:type="dxa" w:w="960"/>
          </w:tcPr>
          <w:p>
            <w:r/>
            <w:r>
              <w:rPr>
                <w:b/>
                <w:sz w:val="18"/>
              </w:rPr>
              <w:t>Container</w:t>
            </w:r>
          </w:p>
        </w:tc>
        <w:tc>
          <w:tcPr>
            <w:tcW w:type="dxa" w:w="960"/>
          </w:tcPr>
          <w:p>
            <w:r/>
            <w:r>
              <w:rPr>
                <w:b/>
                <w:sz w:val="18"/>
              </w:rPr>
              <w:t>Transit Time</w:t>
            </w:r>
          </w:p>
        </w:tc>
        <w:tc>
          <w:tcPr>
            <w:tcW w:type="dxa" w:w="960"/>
          </w:tcPr>
          <w:p>
            <w:r/>
            <w:r>
              <w:rPr>
                <w:b/>
                <w:sz w:val="18"/>
              </w:rPr>
              <w:t>Ocean Freight</w:t>
            </w:r>
          </w:p>
        </w:tc>
        <w:tc>
          <w:tcPr>
            <w:tcW w:type="dxa" w:w="960"/>
          </w:tcPr>
          <w:p>
            <w:r/>
            <w:r>
              <w:rPr>
                <w:b/>
                <w:sz w:val="18"/>
              </w:rPr>
              <w:t>Telex Release</w:t>
            </w:r>
          </w:p>
        </w:tc>
        <w:tc>
          <w:tcPr>
            <w:tcW w:type="dxa" w:w="960"/>
          </w:tcPr>
          <w:p>
            <w:r/>
            <w:r>
              <w:rPr>
                <w:b/>
                <w:sz w:val="18"/>
              </w:rPr>
              <w:t>Term</w:t>
            </w:r>
          </w:p>
        </w:tc>
        <w:tc>
          <w:tcPr>
            <w:tcW w:type="dxa" w:w="960"/>
          </w:tcPr>
          <w:p>
            <w:r/>
            <w:r>
              <w:rPr>
                <w:b/>
                <w:sz w:val="18"/>
              </w:rPr>
              <w:t>Total</w:t>
            </w:r>
          </w:p>
        </w:tc>
      </w:tr>
      <w:tr>
        <w:tc>
          <w:tcPr>
            <w:tcW w:type="dxa" w:w="960"/>
          </w:tcPr>
          <w:p>
            <w:r/>
            <w:r>
              <w:rPr>
                <w:b/>
                <w:sz w:val="20"/>
              </w:rPr>
              <w:t>1</w:t>
            </w:r>
          </w:p>
        </w:tc>
        <w:tc>
          <w:tcPr>
            <w:tcW w:type="dxa" w:w="960"/>
          </w:tcPr>
          <w:p>
            <w:r/>
            <w:r>
              <w:rPr>
                <w:b/>
                <w:sz w:val="20"/>
              </w:rPr>
              <w:t>Jebel Ali — United Arab Emirates</w:t>
            </w:r>
          </w:p>
        </w:tc>
        <w:tc>
          <w:tcPr>
            <w:tcW w:type="dxa" w:w="960"/>
          </w:tcPr>
          <w:p>
            <w:r/>
            <w:r>
              <w:rPr>
                <w:b/>
                <w:sz w:val="20"/>
              </w:rPr>
              <w:t>AEJEA</w:t>
            </w:r>
          </w:p>
        </w:tc>
        <w:tc>
          <w:tcPr>
            <w:tcW w:type="dxa" w:w="960"/>
          </w:tcPr>
          <w:p>
            <w:r/>
            <w:r>
              <w:rPr>
                <w:b/>
                <w:sz w:val="20"/>
              </w:rPr>
              <w:t>1 x 40'</w:t>
            </w:r>
          </w:p>
        </w:tc>
        <w:tc>
          <w:tcPr>
            <w:tcW w:type="dxa" w:w="960"/>
          </w:tcPr>
          <w:p>
            <w:r/>
            <w:r>
              <w:rPr>
                <w:b/>
                <w:sz w:val="20"/>
              </w:rPr>
              <w:t>35 Days</w:t>
            </w:r>
          </w:p>
        </w:tc>
        <w:tc>
          <w:tcPr>
            <w:tcW w:type="dxa" w:w="960"/>
          </w:tcPr>
          <w:p>
            <w:r/>
            <w:r>
              <w:rPr>
                <w:b/>
                <w:sz w:val="20"/>
              </w:rPr>
              <w:t>8,800.00</w:t>
            </w:r>
          </w:p>
        </w:tc>
        <w:tc>
          <w:tcPr>
            <w:tcW w:type="dxa" w:w="960"/>
          </w:tcPr>
          <w:p>
            <w:r/>
            <w:r>
              <w:rPr>
                <w:b/>
                <w:sz w:val="20"/>
              </w:rPr>
              <w:t>80.00</w:t>
            </w:r>
          </w:p>
        </w:tc>
        <w:tc>
          <w:tcPr>
            <w:tcW w:type="dxa" w:w="960"/>
          </w:tcPr>
          <w:p>
            <w:r/>
            <w:r>
              <w:rPr>
                <w:b/>
                <w:sz w:val="20"/>
              </w:rPr>
              <w:t>FOB</w:t>
            </w:r>
          </w:p>
        </w:tc>
        <w:tc>
          <w:tcPr>
            <w:tcW w:type="dxa" w:w="960"/>
          </w:tcPr>
          <w:p>
            <w:r/>
            <w:r>
              <w:rPr>
                <w:b/>
                <w:sz w:val="20"/>
              </w:rPr>
              <w:t>8,880.00</w:t>
            </w:r>
          </w:p>
        </w:tc>
      </w:tr>
      <w:tr>
        <w:tc>
          <w:tcPr>
            <w:tcW w:type="dxa" w:w="960"/>
          </w:tcPr>
          <w:p>
            <w:r/>
            <w:r>
              <w:rPr>
                <w:b/>
                <w:sz w:val="22"/>
              </w:rPr>
              <w:t>TOTAL</w:t>
            </w:r>
          </w:p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>
            <w:r/>
            <w:r>
              <w:rPr>
                <w:b/>
                <w:color w:val="D92B2B"/>
                <w:sz w:val="24"/>
              </w:rPr>
              <w:t>8,880.00</w:t>
            </w:r>
          </w:p>
        </w:tc>
      </w:tr>
    </w:tbl>
    <w:p>
      <w:r>
        <w:rPr>
          <w:b/>
          <w:color w:val="0A4D8C"/>
          <w:sz w:val="26"/>
        </w:rPr>
        <w:t>Shipment Details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color w:val="5B6B7B"/>
                <w:sz w:val="20"/>
              </w:rPr>
              <w:t>Service Type</w:t>
            </w:r>
          </w:p>
        </w:tc>
        <w:tc>
          <w:tcPr>
            <w:tcW w:type="dxa" w:w="4320"/>
          </w:tcPr>
          <w:p>
            <w:r/>
            <w:r>
              <w:rPr>
                <w:color w:val="16202B"/>
                <w:sz w:val="20"/>
              </w:rPr>
              <w:t>Ocean Freight (FCL)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color w:val="5B6B7B"/>
                <w:sz w:val="20"/>
              </w:rPr>
              <w:t>Carrier</w:t>
            </w:r>
          </w:p>
        </w:tc>
        <w:tc>
          <w:tcPr>
            <w:tcW w:type="dxa" w:w="4320"/>
          </w:tcPr>
          <w:p>
            <w:r/>
            <w:r>
              <w:rPr>
                <w:color w:val="16202B"/>
                <w:sz w:val="20"/>
              </w:rPr>
              <w:t>To be confirmed at booking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color w:val="5B6B7B"/>
                <w:sz w:val="20"/>
              </w:rPr>
              <w:t>Origin Port (POL)</w:t>
            </w:r>
          </w:p>
        </w:tc>
        <w:tc>
          <w:tcPr>
            <w:tcW w:type="dxa" w:w="4320"/>
          </w:tcPr>
          <w:p>
            <w:r/>
            <w:r>
              <w:rPr>
                <w:color w:val="16202B"/>
                <w:sz w:val="20"/>
              </w:rPr>
              <w:t>Qingdao, China (CNQDG)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color w:val="5B6B7B"/>
                <w:sz w:val="20"/>
              </w:rPr>
              <w:t>Destination Port (POD)</w:t>
            </w:r>
          </w:p>
        </w:tc>
        <w:tc>
          <w:tcPr>
            <w:tcW w:type="dxa" w:w="4320"/>
          </w:tcPr>
          <w:p>
            <w:r/>
            <w:r>
              <w:rPr>
                <w:color w:val="16202B"/>
                <w:sz w:val="20"/>
              </w:rPr>
              <w:t>Jebel Ali, United Arab Emirates (AEJEA)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color w:val="5B6B7B"/>
                <w:sz w:val="20"/>
              </w:rPr>
              <w:t>Container Type</w:t>
            </w:r>
          </w:p>
        </w:tc>
        <w:tc>
          <w:tcPr>
            <w:tcW w:type="dxa" w:w="4320"/>
          </w:tcPr>
          <w:p>
            <w:r/>
            <w:r>
              <w:rPr>
                <w:color w:val="16202B"/>
                <w:sz w:val="20"/>
              </w:rPr>
              <w:t>1 x 40' (40GP)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color w:val="5B6B7B"/>
                <w:sz w:val="20"/>
              </w:rPr>
              <w:t>Telex Release</w:t>
            </w:r>
          </w:p>
        </w:tc>
        <w:tc>
          <w:tcPr>
            <w:tcW w:type="dxa" w:w="4320"/>
          </w:tcPr>
          <w:p>
            <w:r/>
            <w:r>
              <w:rPr>
                <w:color w:val="16202B"/>
                <w:sz w:val="20"/>
              </w:rPr>
              <w:t>USD 80 / B/L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color w:val="5B6B7B"/>
                <w:sz w:val="20"/>
              </w:rPr>
              <w:t>Free Time</w:t>
            </w:r>
          </w:p>
        </w:tc>
        <w:tc>
          <w:tcPr>
            <w:tcW w:type="dxa" w:w="4320"/>
          </w:tcPr>
          <w:p>
            <w:r/>
            <w:r>
              <w:rPr>
                <w:color w:val="16202B"/>
                <w:sz w:val="20"/>
              </w:rPr>
              <w:t>14 Days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color w:val="5B6B7B"/>
                <w:sz w:val="20"/>
              </w:rPr>
              <w:t>Transit Time</w:t>
            </w:r>
          </w:p>
        </w:tc>
        <w:tc>
          <w:tcPr>
            <w:tcW w:type="dxa" w:w="4320"/>
          </w:tcPr>
          <w:p>
            <w:r/>
            <w:r>
              <w:rPr>
                <w:color w:val="16202B"/>
                <w:sz w:val="20"/>
              </w:rPr>
              <w:t>35 Days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color w:val="5B6B7B"/>
                <w:sz w:val="20"/>
              </w:rPr>
              <w:t>Currency</w:t>
            </w:r>
          </w:p>
        </w:tc>
        <w:tc>
          <w:tcPr>
            <w:tcW w:type="dxa" w:w="4320"/>
          </w:tcPr>
          <w:p>
            <w:r/>
            <w:r>
              <w:rPr>
                <w:color w:val="16202B"/>
                <w:sz w:val="20"/>
              </w:rPr>
              <w:t>USD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color w:val="5B6B7B"/>
                <w:sz w:val="20"/>
              </w:rPr>
              <w:t>Validity</w:t>
            </w:r>
          </w:p>
        </w:tc>
        <w:tc>
          <w:tcPr>
            <w:tcW w:type="dxa" w:w="4320"/>
          </w:tcPr>
          <w:p>
            <w:r/>
            <w:r>
              <w:rPr>
                <w:color w:val="16202B"/>
                <w:sz w:val="20"/>
              </w:rPr>
              <w:t>September 20, 2026</w:t>
            </w:r>
          </w:p>
        </w:tc>
      </w:tr>
    </w:tbl>
    <w:p>
      <w:r>
        <w:rPr>
          <w:b/>
          <w:color w:val="0A4D8C"/>
          <w:sz w:val="26"/>
        </w:rPr>
        <w:t>Terms &amp; Remarks</w:t>
      </w:r>
    </w:p>
    <w:p>
      <w:pPr>
        <w:pStyle w:val="ListBullet"/>
      </w:pPr>
      <w:r>
        <w:t>Rate is per container, from Qingdao, in USD.</w:t>
      </w:r>
    </w:p>
    <w:p>
      <w:pPr>
        <w:pStyle w:val="ListBullet"/>
      </w:pPr>
      <w:r>
        <w:t>Telex release fee: USD 80 per B/L.</w:t>
      </w:r>
    </w:p>
    <w:p>
      <w:pPr>
        <w:pStyle w:val="ListBullet"/>
      </w:pPr>
      <w:r>
        <w:t>Free time: 14 days at destination.</w:t>
      </w:r>
    </w:p>
    <w:p>
      <w:pPr>
        <w:pStyle w:val="ListBullet"/>
      </w:pPr>
      <w:r>
        <w:t>Freight rates are subject to space availability and carrier schedule at time of booking.</w:t>
      </w:r>
    </w:p>
    <w:p>
      <w:pPr>
        <w:pStyle w:val="ListBullet"/>
      </w:pPr>
      <w:r>
        <w:t>Import duties, taxes, and destination charges are not included.</w:t>
      </w:r>
    </w:p>
    <w:p>
      <w:pPr>
        <w:pStyle w:val="ListBullet"/>
      </w:pPr>
      <w:r>
        <w:t>Transit times are estimates and may vary with carrier schedules and routing.</w:t>
      </w:r>
    </w:p>
    <w:p>
      <w:pPr>
        <w:pStyle w:val="ListBullet"/>
      </w:pPr>
      <w:r>
        <w:t>This quotation is valid until September 20, 2026.</w:t>
      </w:r>
    </w:p>
    <w:p>
      <w:r>
        <w:rPr>
          <w:b/>
          <w:color w:val="0A4D8C"/>
          <w:sz w:val="26"/>
        </w:rPr>
        <w:t>Contact</w:t>
      </w:r>
    </w:p>
    <w:p>
      <w:r>
        <w:rPr>
          <w:b/>
          <w:sz w:val="22"/>
        </w:rPr>
        <w:t>Lock this rate via WhatsApp: +86 158 1850 5125  ·  ayang@shaq-log.com</w:t>
      </w:r>
    </w:p>
    <w:p>
      <w:r>
        <w:rPr>
          <w:color w:val="5B6B7B"/>
          <w:sz w:val="18"/>
        </w:rPr>
        <w:t>SHAQ Logistics · Smart Freight Rate Platform. This document is a quotation only and is not a booking confirmation. Rates are indicative and confirmed at the time of booking subject to space and carrier approval.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