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</w:p>
    <w:p>
      <w:r>
        <w:rPr>
          <w:color w:val="777777"/>
          <w:sz w:val="20"/>
        </w:rPr>
        <w:t>Smart Freight Rate Platform</w:t>
      </w:r>
    </w:p>
    <w:p>
      <w:r>
        <w:rPr>
          <w:b/>
        </w:rPr>
        <w:t>FREIGHT QUOTE</w:t>
      </w:r>
    </w:p>
    <w:p>
      <w:r>
        <w:rPr>
          <w:sz w:val="22"/>
        </w:rPr>
        <w:t>No. SHAQ-QDO-JEA-260905</w:t>
      </w:r>
    </w:p>
    <w:p>
      <w:r>
        <w:t>Quote Date: September 5, 2026</w:t>
      </w:r>
    </w:p>
    <w:p>
      <w:r>
        <w:t>Valid Until: September 15, 2026</w:t>
      </w:r>
    </w:p>
    <w:p>
      <w:r>
        <w:t>Issued By: Aaron — SHAQ Logistics | WhatsApp: +86 158 1850 5125</w:t>
      </w:r>
    </w:p>
    <w:p>
      <w:r>
        <w:t>Route: Qingdao, China (QDO)  →  Jebel Ali, UAE (JEA)  |  Carrier: CUL  |  1 x 20GP</w:t>
      </w:r>
    </w:p>
    <w:p>
      <w:pPr>
        <w:pStyle w:val="Heading1"/>
      </w:pPr>
      <w:r>
        <w:t>Ocean Freight Rates — Qingdao to Jebel Ali (USD)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>
            <w:r>
              <w:t>Ocean Freight (1 x 20GP)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7,300.00</w:t>
            </w:r>
          </w:p>
        </w:tc>
        <w:tc>
          <w:tcPr>
            <w:tcW w:type="dxa" w:w="2160"/>
          </w:tcPr>
          <w:p>
            <w:r>
              <w:t>7,300.00</w:t>
            </w:r>
          </w:p>
        </w:tc>
      </w:tr>
      <w:tr>
        <w:tc>
          <w:tcPr>
            <w:tcW w:type="dxa" w:w="2160"/>
          </w:tcPr>
          <w:p>
            <w:r>
              <w:t>Telex Release (per B/L)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  <w:tr>
        <w:tc>
          <w:tcPr>
            <w:tcW w:type="dxa" w:w="2160"/>
          </w:tcPr>
          <w:p>
            <w:r>
              <w:t>TOTAL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7,380.00</w:t>
            </w:r>
          </w:p>
        </w:tc>
      </w:tr>
    </w:tbl>
    <w:p>
      <w:pPr>
        <w:pStyle w:val="Heading1"/>
      </w:pPr>
      <w: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Service Type</w:t>
            </w:r>
          </w:p>
        </w:tc>
        <w:tc>
          <w:tcPr>
            <w:tcW w:type="dxa" w:w="4320"/>
          </w:tcPr>
          <w:p>
            <w:r>
              <w:t>Ocean Freight (FCL)</w:t>
            </w:r>
          </w:p>
        </w:tc>
      </w:tr>
      <w:tr>
        <w:tc>
          <w:tcPr>
            <w:tcW w:type="dxa" w:w="4320"/>
          </w:tcPr>
          <w:p>
            <w:r>
              <w:t>Carrier</w:t>
            </w:r>
          </w:p>
        </w:tc>
        <w:tc>
          <w:tcPr>
            <w:tcW w:type="dxa" w:w="4320"/>
          </w:tcPr>
          <w:p>
            <w:r>
              <w:t>CUL</w:t>
            </w:r>
          </w:p>
        </w:tc>
      </w:tr>
      <w:tr>
        <w:tc>
          <w:tcPr>
            <w:tcW w:type="dxa" w:w="4320"/>
          </w:tcPr>
          <w:p>
            <w:r>
              <w:t>Origin Port</w:t>
            </w:r>
          </w:p>
        </w:tc>
        <w:tc>
          <w:tcPr>
            <w:tcW w:type="dxa" w:w="4320"/>
          </w:tcPr>
          <w:p>
            <w:r>
              <w:t>Qingdao, China (CNQIN)</w:t>
            </w:r>
          </w:p>
        </w:tc>
      </w:tr>
      <w:tr>
        <w:tc>
          <w:tcPr>
            <w:tcW w:type="dxa" w:w="4320"/>
          </w:tcPr>
          <w:p>
            <w:r>
              <w:t>Destination Port</w:t>
            </w:r>
          </w:p>
        </w:tc>
        <w:tc>
          <w:tcPr>
            <w:tcW w:type="dxa" w:w="4320"/>
          </w:tcPr>
          <w:p>
            <w:r>
              <w:t>Jebel Ali, UAE (AEJEA)</w:t>
            </w:r>
          </w:p>
        </w:tc>
      </w:tr>
      <w:tr>
        <w:tc>
          <w:tcPr>
            <w:tcW w:type="dxa" w:w="4320"/>
          </w:tcPr>
          <w:p>
            <w:r>
              <w:t>Container Type</w:t>
            </w:r>
          </w:p>
        </w:tc>
        <w:tc>
          <w:tcPr>
            <w:tcW w:type="dxa" w:w="4320"/>
          </w:tcPr>
          <w:p>
            <w:r>
              <w:t>1 x 20GP</w:t>
            </w:r>
          </w:p>
        </w:tc>
      </w:tr>
      <w:tr>
        <w:tc>
          <w:tcPr>
            <w:tcW w:type="dxa" w:w="4320"/>
          </w:tcPr>
          <w:p>
            <w:r>
              <w:t>Telex Release</w:t>
            </w:r>
          </w:p>
        </w:tc>
        <w:tc>
          <w:tcPr>
            <w:tcW w:type="dxa" w:w="4320"/>
          </w:tcPr>
          <w:p>
            <w:r>
              <w:t>USD 80 / B/L</w:t>
            </w:r>
          </w:p>
        </w:tc>
      </w:tr>
      <w:tr>
        <w:tc>
          <w:tcPr>
            <w:tcW w:type="dxa" w:w="4320"/>
          </w:tcPr>
          <w:p>
            <w:r>
              <w:t>Free Time</w:t>
            </w:r>
          </w:p>
        </w:tc>
        <w:tc>
          <w:tcPr>
            <w:tcW w:type="dxa" w:w="4320"/>
          </w:tcPr>
          <w:p>
            <w:r>
              <w:t>14 Days</w:t>
            </w:r>
          </w:p>
        </w:tc>
      </w:tr>
      <w:tr>
        <w:tc>
          <w:tcPr>
            <w:tcW w:type="dxa" w:w="4320"/>
          </w:tcPr>
          <w:p>
            <w:r>
              <w:t>Transit Time</w:t>
            </w:r>
          </w:p>
        </w:tc>
        <w:tc>
          <w:tcPr>
            <w:tcW w:type="dxa" w:w="4320"/>
          </w:tcPr>
          <w:p>
            <w:r>
              <w:t>35 Days</w:t>
            </w:r>
          </w:p>
        </w:tc>
      </w:tr>
      <w:tr>
        <w:tc>
          <w:tcPr>
            <w:tcW w:type="dxa" w:w="4320"/>
          </w:tcPr>
          <w:p>
            <w:r>
              <w:t>ETD</w:t>
            </w:r>
          </w:p>
        </w:tc>
        <w:tc>
          <w:tcPr>
            <w:tcW w:type="dxa" w:w="4320"/>
          </w:tcPr>
          <w:p>
            <w:r>
              <w:t>September 15, 2026</w:t>
            </w:r>
          </w:p>
        </w:tc>
      </w:tr>
      <w:tr>
        <w:tc>
          <w:tcPr>
            <w:tcW w:type="dxa" w:w="4320"/>
          </w:tcPr>
          <w:p>
            <w:r>
              <w:t>Term</w:t>
            </w:r>
          </w:p>
        </w:tc>
        <w:tc>
          <w:tcPr>
            <w:tcW w:type="dxa" w:w="4320"/>
          </w:tcPr>
          <w:p>
            <w:r>
              <w:t>FOB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t>Validity</w:t>
            </w:r>
          </w:p>
        </w:tc>
        <w:tc>
          <w:tcPr>
            <w:tcW w:type="dxa" w:w="4320"/>
          </w:tcPr>
          <w:p>
            <w:r>
              <w:t>September 15, 2026</w:t>
            </w:r>
          </w:p>
        </w:tc>
      </w:tr>
    </w:tbl>
    <w:p>
      <w:pPr>
        <w:pStyle w:val="Heading1"/>
      </w:pPr>
      <w:r>
        <w:t>Terms &amp; Remarks</w:t>
      </w:r>
    </w:p>
    <w:p>
      <w:pPr>
        <w:pStyle w:val="ListBullet"/>
      </w:pPr>
      <w:r>
        <w:t>Rate is per 20GP container, from Qingdao, in USD.</w:t>
      </w:r>
    </w:p>
    <w:p>
      <w:pPr>
        <w:pStyle w:val="ListBullet"/>
      </w:pPr>
      <w:r>
        <w:t>Ocean freight includes the overweight charge — load weight from 25 ton up to 27 ton.</w:t>
      </w:r>
    </w:p>
    <w:p>
      <w:pPr>
        <w:pStyle w:val="ListBullet"/>
      </w:pPr>
      <w:r>
        <w:t>Telex release fee: USD 80 per B/L.</w:t>
      </w:r>
    </w:p>
    <w:p>
      <w:pPr>
        <w:pStyle w:val="ListBullet"/>
      </w:pPr>
      <w:r>
        <w:t>Free time: 14 days at destination.</w:t>
      </w:r>
    </w:p>
    <w:p>
      <w:pPr>
        <w:pStyle w:val="ListBullet"/>
      </w:pPr>
      <w:r>
        <w:t>Term: FOB.</w:t>
      </w:r>
    </w:p>
    <w:p>
      <w:pPr>
        <w:pStyle w:val="ListBullet"/>
      </w:pPr>
      <w:r>
        <w:t>ETD: September 15, 2026; transit time approx. 35 days.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Import duties, taxes, and destination charges are not included.</w:t>
      </w:r>
    </w:p>
    <w:p>
      <w:pPr>
        <w:pStyle w:val="ListBullet"/>
      </w:pPr>
      <w:r>
        <w:t>Transit times are estimates and may vary with carrier schedules and routing.</w:t>
      </w:r>
    </w:p>
    <w:p>
      <w:r>
        <w:rPr>
          <w:sz w:val="18"/>
        </w:rPr>
        <w:t>SHAQ Logistics — Room 3702, Long Park Chong Chin Building, No. 2010 Bao'an South Road, Luohu District, Shenzhen, China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