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A2A6C"/>
          <w:sz w:val="40"/>
        </w:rPr>
        <w:t>SHAQ LOGISTICS</w:t>
      </w:r>
    </w:p>
    <w:p>
      <w:r>
        <w:rPr>
          <w:color w:val="777777"/>
          <w:sz w:val="18"/>
        </w:rPr>
        <w:t>Smart Freight Rate Platform</w:t>
      </w:r>
    </w:p>
    <w:p>
      <w:pPr>
        <w:jc w:val="right"/>
      </w:pPr>
      <w:r>
        <w:rPr>
          <w:b/>
          <w:color w:val="1A2A6C"/>
          <w:sz w:val="36"/>
        </w:rPr>
        <w:t>FREIGHT QUOTE</w:t>
      </w:r>
    </w:p>
    <w:p>
      <w:pPr>
        <w:jc w:val="right"/>
      </w:pPr>
      <w:r>
        <w:rPr>
          <w:color w:val="555555"/>
          <w:sz w:val="22"/>
        </w:rPr>
        <w:t>No. SHAQ-QD-CONST-260821</w:t>
      </w:r>
    </w:p>
    <w:p>
      <w:r>
        <w:t>________________________________________________________________________________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color w:val="999999"/>
                <w:sz w:val="20"/>
              </w:rPr>
              <w:t>Quote Date</w:t>
            </w:r>
          </w:p>
        </w:tc>
        <w:tc>
          <w:tcPr>
            <w:tcW w:type="dxa" w:w="3324"/>
          </w:tcPr>
          <w:p>
            <w:r>
              <w:rPr>
                <w:color w:val="999999"/>
                <w:sz w:val="20"/>
              </w:rPr>
              <w:t>Valid Until</w:t>
            </w:r>
          </w:p>
        </w:tc>
        <w:tc>
          <w:tcPr>
            <w:tcW w:type="dxa" w:w="3324"/>
          </w:tcPr>
          <w:p>
            <w:r>
              <w:rPr>
                <w:color w:val="999999"/>
                <w:sz w:val="20"/>
              </w:rPr>
              <w:t>Issued By</w:t>
            </w:r>
          </w:p>
        </w:tc>
      </w:tr>
      <w:tr>
        <w:tc>
          <w:tcPr>
            <w:tcW w:type="dxa" w:w="3324"/>
          </w:tcPr>
          <w:p>
            <w:r>
              <w:rPr>
                <w:sz w:val="20"/>
              </w:rPr>
              <w:t>August 21, 2026</w:t>
            </w:r>
          </w:p>
        </w:tc>
        <w:tc>
          <w:tcPr>
            <w:tcW w:type="dxa" w:w="3324"/>
          </w:tcPr>
          <w:p>
            <w:r>
              <w:rPr>
                <w:sz w:val="20"/>
              </w:rPr>
              <w:t>October 31, 2026</w:t>
            </w:r>
          </w:p>
        </w:tc>
        <w:tc>
          <w:tcPr>
            <w:tcW w:type="dxa" w:w="3324"/>
          </w:tcPr>
          <w:p>
            <w:r>
              <w:rPr>
                <w:sz w:val="20"/>
              </w:rPr>
              <w:t>Aaron - SHAQ Logistics</w:t>
              <w:br/>
              <w:t>WhatsApp: +86 158 1850 5125</w:t>
            </w:r>
          </w:p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p>
      <w:pPr>
        <w:jc w:val="center"/>
      </w:pPr>
      <w:r>
        <w:rPr>
          <w:b/>
        </w:rPr>
        <w:t>QDO (Qingdao, China)  →  CND (Constanta, Romania)  →  HPL (1 x 40HC)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20"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  <w:sz w:val="20"/>
              </w:rPr>
              <w:t>Qty</w:t>
            </w:r>
          </w:p>
        </w:tc>
        <w:tc>
          <w:tcPr>
            <w:tcW w:type="dxa" w:w="2493"/>
          </w:tcPr>
          <w:p>
            <w:r>
              <w:rPr>
                <w:b/>
                <w:sz w:val="20"/>
              </w:rPr>
              <w:t>Unit Price</w:t>
            </w:r>
          </w:p>
        </w:tc>
        <w:tc>
          <w:tcPr>
            <w:tcW w:type="dxa" w:w="2493"/>
          </w:tcPr>
          <w:p>
            <w:r>
              <w:rPr>
                <w:b/>
                <w:sz w:val="20"/>
              </w:rPr>
              <w:t>Amount (USD)</w:t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Ocean Freight, Qingdao -&gt; Constanta</w:t>
              <w:br/>
              <w:t>Carrier: HPL - 40HC, transit ~42 days, free time 14 days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4,550.00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4,550.00</w:t>
            </w:r>
          </w:p>
        </w:tc>
      </w:tr>
      <w:tr>
        <w:tc>
          <w:tcPr>
            <w:tcW w:type="dxa" w:w="2493"/>
          </w:tcPr>
          <w:p>
            <w:r>
              <w:rPr>
                <w:sz w:val="20"/>
              </w:rPr>
              <w:t>Telex Release (Per B/L)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80.00</w:t>
            </w:r>
          </w:p>
        </w:tc>
        <w:tc>
          <w:tcPr>
            <w:tcW w:type="dxa" w:w="2493"/>
          </w:tcPr>
          <w:p>
            <w:r>
              <w:rPr>
                <w:sz w:val="20"/>
              </w:rPr>
              <w:t>80.00</w:t>
            </w:r>
          </w:p>
        </w:tc>
      </w:tr>
      <w:tr>
        <w:tc>
          <w:tcPr>
            <w:tcW w:type="dxa" w:w="7479"/>
            <w:gridSpan w:val="3"/>
          </w:tcPr>
          <w:p>
            <w:r>
              <w:rPr>
                <w:b/>
                <w:color w:val="B21F1F"/>
                <w:sz w:val="24"/>
              </w:rPr>
              <w:t>TOTAL</w:t>
            </w:r>
          </w:p>
        </w:tc>
        <w:tc>
          <w:tcPr>
            <w:tcW w:type="dxa" w:w="2493"/>
          </w:tcPr>
          <w:p>
            <w:r>
              <w:rPr>
                <w:b/>
                <w:color w:val="B21F1F"/>
                <w:sz w:val="24"/>
              </w:rPr>
              <w:t>USD 4,630.00</w:t>
            </w:r>
          </w:p>
        </w:tc>
      </w:tr>
    </w:tbl>
    <w:p/>
    <w:p>
      <w:pPr>
        <w:jc w:val="center"/>
      </w:pPr>
      <w:r>
        <w:rPr>
          <w:b/>
          <w:color w:val="7A5C00"/>
          <w:sz w:val="22"/>
        </w:rPr>
        <w:t>This rate is valid until October 31, 2026 — lock now to secure.</w:t>
      </w:r>
    </w:p>
    <w:p/>
    <w:p>
      <w:r>
        <w:rPr>
          <w:b/>
          <w:color w:val="1A2A6C"/>
          <w:sz w:val="24"/>
        </w:rPr>
        <w:t>SHIPMENT DETAILS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color w:val="888888"/>
                <w:sz w:val="20"/>
              </w:rPr>
              <w:t>Service Type</w:t>
            </w:r>
          </w:p>
        </w:tc>
        <w:tc>
          <w:tcPr>
            <w:tcW w:type="dxa" w:w="4986"/>
          </w:tcPr>
          <w:p>
            <w:r>
              <w:rPr>
                <w:b/>
                <w:sz w:val="20"/>
              </w:rPr>
              <w:t>Ocean Freight (FCL)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20"/>
              </w:rPr>
              <w:t>Carrier</w:t>
            </w:r>
          </w:p>
        </w:tc>
        <w:tc>
          <w:tcPr>
            <w:tcW w:type="dxa" w:w="4986"/>
          </w:tcPr>
          <w:p>
            <w:r>
              <w:rPr>
                <w:b/>
                <w:sz w:val="20"/>
              </w:rPr>
              <w:t>HPL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20"/>
              </w:rPr>
              <w:t>Origin Port</w:t>
            </w:r>
          </w:p>
        </w:tc>
        <w:tc>
          <w:tcPr>
            <w:tcW w:type="dxa" w:w="4986"/>
          </w:tcPr>
          <w:p>
            <w:r>
              <w:rPr>
                <w:b/>
                <w:sz w:val="20"/>
              </w:rPr>
              <w:t>Qingdao, China (CNQIN)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20"/>
              </w:rPr>
              <w:t>Destination Port</w:t>
            </w:r>
          </w:p>
        </w:tc>
        <w:tc>
          <w:tcPr>
            <w:tcW w:type="dxa" w:w="4986"/>
          </w:tcPr>
          <w:p>
            <w:r>
              <w:rPr>
                <w:b/>
                <w:sz w:val="20"/>
              </w:rPr>
              <w:t>Constanta, Romania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20"/>
              </w:rPr>
              <w:t>Container</w:t>
            </w:r>
          </w:p>
        </w:tc>
        <w:tc>
          <w:tcPr>
            <w:tcW w:type="dxa" w:w="4986"/>
          </w:tcPr>
          <w:p>
            <w:r>
              <w:rPr>
                <w:b/>
                <w:sz w:val="20"/>
              </w:rPr>
              <w:t>1 x 40HC (40' High Cube)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20"/>
              </w:rPr>
              <w:t>Transit Time</w:t>
            </w:r>
          </w:p>
        </w:tc>
        <w:tc>
          <w:tcPr>
            <w:tcW w:type="dxa" w:w="4986"/>
          </w:tcPr>
          <w:p>
            <w:r>
              <w:rPr>
                <w:b/>
                <w:sz w:val="20"/>
              </w:rPr>
              <w:t>Approx. 42 Days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20"/>
              </w:rPr>
              <w:t>Free Time</w:t>
            </w:r>
          </w:p>
        </w:tc>
        <w:tc>
          <w:tcPr>
            <w:tcW w:type="dxa" w:w="4986"/>
          </w:tcPr>
          <w:p>
            <w:r>
              <w:rPr>
                <w:b/>
                <w:sz w:val="20"/>
              </w:rPr>
              <w:t>14 Days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20"/>
              </w:rPr>
              <w:t>Currency</w:t>
            </w:r>
          </w:p>
        </w:tc>
        <w:tc>
          <w:tcPr>
            <w:tcW w:type="dxa" w:w="4986"/>
          </w:tcPr>
          <w:p>
            <w:r>
              <w:rPr>
                <w:b/>
                <w:sz w:val="20"/>
              </w:rPr>
              <w:t>USD</w:t>
            </w:r>
          </w:p>
        </w:tc>
      </w:tr>
      <w:tr>
        <w:tc>
          <w:tcPr>
            <w:tcW w:type="dxa" w:w="4986"/>
          </w:tcPr>
          <w:p>
            <w:r>
              <w:rPr>
                <w:color w:val="888888"/>
                <w:sz w:val="20"/>
              </w:rPr>
              <w:t>Validity</w:t>
            </w:r>
          </w:p>
        </w:tc>
        <w:tc>
          <w:tcPr>
            <w:tcW w:type="dxa" w:w="4986"/>
          </w:tcPr>
          <w:p>
            <w:r>
              <w:rPr>
                <w:b/>
                <w:sz w:val="20"/>
              </w:rPr>
              <w:t>October 31, 2026</w:t>
            </w:r>
          </w:p>
        </w:tc>
      </w:tr>
    </w:tbl>
    <w:p/>
    <w:p>
      <w:r>
        <w:rPr>
          <w:b/>
          <w:color w:val="1A2A6C"/>
          <w:sz w:val="24"/>
        </w:rPr>
        <w:t>TERMS &amp; REMARKS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Free time: 14 days at destination. Demurrage/detention applies thereafter per HPL tariff.</w:t>
      </w:r>
    </w:p>
    <w:p>
      <w:pPr>
        <w:pStyle w:val="ListBullet"/>
      </w:pPr>
      <w:r>
        <w:t>Telex release fee covers electronic B/L release; original B/L not required.</w:t>
      </w:r>
    </w:p>
    <w:p>
      <w:pPr>
        <w:pStyle w:val="ListBullet"/>
      </w:pPr>
      <w:r>
        <w:t>All charges are quoted in USD. Currency conversion fees borne by consignee.</w:t>
      </w:r>
    </w:p>
    <w:p/>
    <w:p>
      <w:r>
        <w:t>________________________________________________________________________________</w:t>
      </w:r>
    </w:p>
    <w:p>
      <w:pPr>
        <w:jc w:val="center"/>
      </w:pPr>
      <w:r>
        <w:rPr>
          <w:color w:val="888888"/>
          <w:sz w:val="18"/>
        </w:rPr>
        <w:t>SHAQ Logistics — Room 3702, Long Park Chong Chin Building, No. 2010 Bao'an South Road, Luohu District, Shenzhen, China</w:t>
      </w:r>
    </w:p>
    <w:p>
      <w:pPr>
        <w:jc w:val="center"/>
      </w:pPr>
      <w:r>
        <w:rPr>
          <w:color w:val="1A2A6C"/>
          <w:sz w:val="18"/>
        </w:rPr>
        <w:t>search.shaq-logistics.com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