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2A6C"/>
          <w:sz w:val="44"/>
        </w:rPr>
        <w:t>SHAQ LOGISTICS</w:t>
      </w:r>
    </w:p>
    <w:p>
      <w:r>
        <w:rPr>
          <w:color w:val="777777"/>
          <w:sz w:val="20"/>
        </w:rPr>
        <w:t>Smart Freight Rate Platform</w:t>
      </w:r>
    </w:p>
    <w:p>
      <w:r>
        <w:rPr>
          <w:b/>
          <w:color w:val="1A2A6C"/>
          <w:sz w:val="36"/>
        </w:rPr>
        <w:t>FREIGHT QUOTE</w:t>
      </w:r>
    </w:p>
    <w:p>
      <w:r>
        <w:rPr>
          <w:color w:val="555555"/>
          <w:sz w:val="22"/>
        </w:rPr>
        <w:t>No. SHAQ-QD-ACA-260905</w:t>
      </w:r>
    </w:p>
    <w:p>
      <w:r>
        <w:rPr>
          <w:b/>
          <w:color w:val="999999"/>
          <w:sz w:val="20"/>
        </w:rPr>
        <w:t xml:space="preserve">Quote Date: </w:t>
      </w:r>
      <w:r>
        <w:rPr>
          <w:b/>
          <w:sz w:val="22"/>
        </w:rPr>
        <w:t>September 5, 2026</w:t>
      </w:r>
    </w:p>
    <w:p>
      <w:r>
        <w:rPr>
          <w:b/>
          <w:color w:val="999999"/>
          <w:sz w:val="20"/>
        </w:rPr>
        <w:t xml:space="preserve">Valid Until: </w:t>
      </w:r>
      <w:r>
        <w:rPr>
          <w:b/>
          <w:sz w:val="22"/>
        </w:rPr>
        <w:t>September 14, 2026</w:t>
      </w:r>
    </w:p>
    <w:p>
      <w:r>
        <w:rPr>
          <w:b/>
          <w:color w:val="999999"/>
          <w:sz w:val="20"/>
        </w:rPr>
        <w:t xml:space="preserve">Issued By: </w:t>
      </w:r>
      <w:r>
        <w:rPr>
          <w:b/>
          <w:sz w:val="22"/>
        </w:rPr>
        <w:t>Aaron — SHAQ Logistics | WhatsApp: +86 158 1850 5125</w:t>
      </w:r>
    </w:p>
    <w:p>
      <w:r>
        <w:rPr>
          <w:b/>
          <w:color w:val="1A2A6C"/>
          <w:sz w:val="24"/>
        </w:rPr>
        <w:t>QDO  Qingdao, China   ➜   ACA  Acajutla, El Salvador   ➜   COSCO  ·  1 x 20GP</w:t>
      </w:r>
    </w:p>
    <w:p>
      <w:r>
        <w:rPr>
          <w:b/>
          <w:color w:val="1A2A6C"/>
          <w:sz w:val="26"/>
        </w:rPr>
        <w:t>Charges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2160"/>
          </w:tcPr>
          <w:p>
            <w:r>
              <w:rPr>
                <w:b/>
              </w:rPr>
              <w:t>Qty</w:t>
            </w:r>
          </w:p>
        </w:tc>
        <w:tc>
          <w:tcPr>
            <w:tcW w:type="dxa" w:w="2160"/>
          </w:tcPr>
          <w:p>
            <w:r>
              <w:rPr>
                <w:b/>
              </w:rPr>
              <w:t>Unit Price</w:t>
            </w:r>
          </w:p>
        </w:tc>
        <w:tc>
          <w:tcPr>
            <w:tcW w:type="dxa" w:w="2160"/>
          </w:tcPr>
          <w:p>
            <w:r>
              <w:rPr>
                <w:b/>
              </w:rPr>
              <w:t>Amount (USD)</w:t>
            </w:r>
          </w:p>
        </w:tc>
      </w:tr>
      <w:tr>
        <w:tc>
          <w:tcPr>
            <w:tcW w:type="dxa" w:w="2160"/>
          </w:tcPr>
          <w:p>
            <w:r>
              <w:t>Ocean Freight, Qingdao → Acajutla</w:t>
              <w:br/>
              <w:t>Carrier: COSCO — 20GP, transit approx. 37 days, free time 21 days, term FOB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7,200.00</w:t>
            </w:r>
          </w:p>
        </w:tc>
        <w:tc>
          <w:tcPr>
            <w:tcW w:type="dxa" w:w="2160"/>
          </w:tcPr>
          <w:p>
            <w:r>
              <w:t>7,200.00</w:t>
            </w:r>
          </w:p>
        </w:tc>
      </w:tr>
      <w:tr>
        <w:tc>
          <w:tcPr>
            <w:tcW w:type="dxa" w:w="2160"/>
          </w:tcPr>
          <w:p>
            <w:r>
              <w:t>Telex Release</w:t>
              <w:br/>
              <w:t>Per Bill of Lading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80.00</w:t>
            </w:r>
          </w:p>
        </w:tc>
        <w:tc>
          <w:tcPr>
            <w:tcW w:type="dxa" w:w="2160"/>
          </w:tcPr>
          <w:p>
            <w:r>
              <w:t>80.00</w:t>
            </w:r>
          </w:p>
        </w:tc>
      </w:tr>
      <w:tr>
        <w:tc>
          <w:tcPr>
            <w:tcW w:type="dxa" w:w="6480"/>
            <w:gridSpan w:val="3"/>
          </w:tcPr>
          <w:p>
            <w:r>
              <w:rPr>
                <w:b/>
                <w:color w:val="B21F1F"/>
                <w:sz w:val="28"/>
              </w:rPr>
              <w:t>TOTAL</w:t>
            </w:r>
          </w:p>
        </w:tc>
        <w:tc>
          <w:tcPr>
            <w:tcW w:type="dxa" w:w="2160"/>
          </w:tcPr>
          <w:p>
            <w:r>
              <w:rPr>
                <w:b/>
                <w:color w:val="B21F1F"/>
                <w:sz w:val="28"/>
              </w:rPr>
              <w:t>USD 7,280.00</w:t>
            </w:r>
          </w:p>
        </w:tc>
      </w:tr>
    </w:tbl>
    <w:p>
      <w:r>
        <w:rPr>
          <w:b/>
          <w:color w:val="7A5C00"/>
          <w:sz w:val="22"/>
        </w:rPr>
        <w:t>This rate is valid until September 14, 2026 — lock now to secure.</w:t>
      </w:r>
    </w:p>
    <w:p>
      <w:r>
        <w:rPr>
          <w:b/>
          <w:color w:val="1A2A6C"/>
          <w:sz w:val="26"/>
        </w:rPr>
        <w:t>Shipment Details</w:t>
      </w:r>
    </w:p>
    <w:tbl>
      <w:tblPr>
        <w:tblStyle w:val="LightList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color w:val="888888"/>
              </w:rPr>
              <w:t>Service Type</w:t>
            </w:r>
          </w:p>
        </w:tc>
        <w:tc>
          <w:tcPr>
            <w:tcW w:type="dxa" w:w="4320"/>
          </w:tcPr>
          <w:p>
            <w:r>
              <w:rPr>
                <w:b/>
              </w:rPr>
              <w:t>Ocean Freight (FCL)</w:t>
            </w:r>
          </w:p>
        </w:tc>
      </w:tr>
      <w:tr>
        <w:tc>
          <w:tcPr>
            <w:tcW w:type="dxa" w:w="4320"/>
          </w:tcPr>
          <w:p>
            <w:r>
              <w:rPr>
                <w:color w:val="888888"/>
              </w:rPr>
              <w:t>Carrier</w:t>
            </w:r>
          </w:p>
        </w:tc>
        <w:tc>
          <w:tcPr>
            <w:tcW w:type="dxa" w:w="4320"/>
          </w:tcPr>
          <w:p>
            <w:r>
              <w:rPr>
                <w:b/>
              </w:rPr>
              <w:t>COSCO</w:t>
            </w:r>
          </w:p>
        </w:tc>
      </w:tr>
      <w:tr>
        <w:tc>
          <w:tcPr>
            <w:tcW w:type="dxa" w:w="4320"/>
          </w:tcPr>
          <w:p>
            <w:r>
              <w:rPr>
                <w:color w:val="888888"/>
              </w:rPr>
              <w:t>Origin Port</w:t>
            </w:r>
          </w:p>
        </w:tc>
        <w:tc>
          <w:tcPr>
            <w:tcW w:type="dxa" w:w="4320"/>
          </w:tcPr>
          <w:p>
            <w:r>
              <w:rPr>
                <w:b/>
              </w:rPr>
              <w:t>Qingdao, China (CNTAO)</w:t>
            </w:r>
          </w:p>
        </w:tc>
      </w:tr>
      <w:tr>
        <w:tc>
          <w:tcPr>
            <w:tcW w:type="dxa" w:w="4320"/>
          </w:tcPr>
          <w:p>
            <w:r>
              <w:rPr>
                <w:color w:val="888888"/>
              </w:rPr>
              <w:t>Destination Port</w:t>
            </w:r>
          </w:p>
        </w:tc>
        <w:tc>
          <w:tcPr>
            <w:tcW w:type="dxa" w:w="4320"/>
          </w:tcPr>
          <w:p>
            <w:r>
              <w:rPr>
                <w:b/>
              </w:rPr>
              <w:t>Acajutla, El Salvador (SVACA)</w:t>
            </w:r>
          </w:p>
        </w:tc>
      </w:tr>
      <w:tr>
        <w:tc>
          <w:tcPr>
            <w:tcW w:type="dxa" w:w="4320"/>
          </w:tcPr>
          <w:p>
            <w:r>
              <w:rPr>
                <w:color w:val="888888"/>
              </w:rPr>
              <w:t>Container</w:t>
            </w:r>
          </w:p>
        </w:tc>
        <w:tc>
          <w:tcPr>
            <w:tcW w:type="dxa" w:w="4320"/>
          </w:tcPr>
          <w:p>
            <w:r>
              <w:rPr>
                <w:b/>
              </w:rPr>
              <w:t>1 x 20GP (20' General Purpose)</w:t>
            </w:r>
          </w:p>
        </w:tc>
      </w:tr>
      <w:tr>
        <w:tc>
          <w:tcPr>
            <w:tcW w:type="dxa" w:w="4320"/>
          </w:tcPr>
          <w:p>
            <w:r>
              <w:rPr>
                <w:color w:val="888888"/>
              </w:rPr>
              <w:t>Trade Term</w:t>
            </w:r>
          </w:p>
        </w:tc>
        <w:tc>
          <w:tcPr>
            <w:tcW w:type="dxa" w:w="4320"/>
          </w:tcPr>
          <w:p>
            <w:r>
              <w:rPr>
                <w:b/>
              </w:rPr>
              <w:t>FOB</w:t>
            </w:r>
          </w:p>
        </w:tc>
      </w:tr>
      <w:tr>
        <w:tc>
          <w:tcPr>
            <w:tcW w:type="dxa" w:w="4320"/>
          </w:tcPr>
          <w:p>
            <w:r>
              <w:rPr>
                <w:color w:val="888888"/>
              </w:rPr>
              <w:t>Transit Time</w:t>
            </w:r>
          </w:p>
        </w:tc>
        <w:tc>
          <w:tcPr>
            <w:tcW w:type="dxa" w:w="4320"/>
          </w:tcPr>
          <w:p>
            <w:r>
              <w:rPr>
                <w:b/>
              </w:rPr>
              <w:t>Approx. 37 Days</w:t>
            </w:r>
          </w:p>
        </w:tc>
      </w:tr>
      <w:tr>
        <w:tc>
          <w:tcPr>
            <w:tcW w:type="dxa" w:w="4320"/>
          </w:tcPr>
          <w:p>
            <w:r>
              <w:rPr>
                <w:color w:val="888888"/>
              </w:rPr>
              <w:t>Free Time</w:t>
            </w:r>
          </w:p>
        </w:tc>
        <w:tc>
          <w:tcPr>
            <w:tcW w:type="dxa" w:w="4320"/>
          </w:tcPr>
          <w:p>
            <w:r>
              <w:rPr>
                <w:b/>
              </w:rPr>
              <w:t>21 Days</w:t>
            </w:r>
          </w:p>
        </w:tc>
      </w:tr>
      <w:tr>
        <w:tc>
          <w:tcPr>
            <w:tcW w:type="dxa" w:w="4320"/>
          </w:tcPr>
          <w:p>
            <w:r>
              <w:rPr>
                <w:color w:val="888888"/>
              </w:rPr>
              <w:t>Currency</w:t>
            </w:r>
          </w:p>
        </w:tc>
        <w:tc>
          <w:tcPr>
            <w:tcW w:type="dxa" w:w="4320"/>
          </w:tcPr>
          <w:p>
            <w:r>
              <w:rPr>
                <w:b/>
              </w:rPr>
              <w:t>USD</w:t>
            </w:r>
          </w:p>
        </w:tc>
      </w:tr>
      <w:tr>
        <w:tc>
          <w:tcPr>
            <w:tcW w:type="dxa" w:w="4320"/>
          </w:tcPr>
          <w:p>
            <w:r>
              <w:rPr>
                <w:color w:val="888888"/>
              </w:rPr>
              <w:t>Validity</w:t>
            </w:r>
          </w:p>
        </w:tc>
        <w:tc>
          <w:tcPr>
            <w:tcW w:type="dxa" w:w="4320"/>
          </w:tcPr>
          <w:p>
            <w:r>
              <w:rPr>
                <w:b/>
              </w:rPr>
              <w:t>September 14, 2026</w:t>
            </w:r>
          </w:p>
        </w:tc>
      </w:tr>
    </w:tbl>
    <w:p>
      <w:r>
        <w:rPr>
          <w:b/>
          <w:color w:val="1A2A6C"/>
          <w:sz w:val="26"/>
        </w:rPr>
        <w:t>Terms &amp; Remarks</w:t>
      </w:r>
    </w:p>
    <w:p>
      <w:pPr>
        <w:pStyle w:val="ListBullet"/>
      </w:pPr>
      <w:r>
        <w:t>Freight rates are subject to space availability and carrier schedule at time of booking.</w:t>
      </w:r>
    </w:p>
    <w:p>
      <w:pPr>
        <w:pStyle w:val="ListBullet"/>
      </w:pPr>
      <w:r>
        <w:t>Free time: 21 days at destination. Demurrage/detention applies thereafter per COSCO tariff.</w:t>
      </w:r>
    </w:p>
    <w:p>
      <w:pPr>
        <w:pStyle w:val="ListBullet"/>
      </w:pPr>
      <w:r>
        <w:t>Telex release fee covers electronic B/L release; original B/L not required.</w:t>
      </w:r>
    </w:p>
    <w:p>
      <w:pPr>
        <w:pStyle w:val="ListBullet"/>
      </w:pPr>
      <w:r>
        <w:t>Rate quoted on FOB basis — origin inland/terminal handling at shipper's account.</w:t>
      </w:r>
    </w:p>
    <w:p>
      <w:pPr>
        <w:pStyle w:val="ListBullet"/>
      </w:pPr>
      <w:r>
        <w:t>All charges are quoted in USD. Currency conversion fees borne by consignee.</w:t>
      </w:r>
    </w:p>
    <w:p>
      <w:r>
        <w:rPr>
          <w:color w:val="888888"/>
          <w:sz w:val="20"/>
        </w:rPr>
        <w:t>SHAQ Logistics — Room 3702, Long Park Chong Chin Building, No. 2010 Bao'an South Road, Luohu District, Shenzhen, China</w:t>
      </w:r>
    </w:p>
    <w:p>
      <w:r>
        <w:rPr>
          <w:color w:val="1A2A6C"/>
          <w:sz w:val="20"/>
        </w:rPr>
        <w:t>search.shaq-logistics.com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