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1A2A6C"/>
          <w:sz w:val="40"/>
        </w:rPr>
        <w:t>SHAQ LOGISTICS</w:t>
      </w:r>
      <w:r>
        <w:t xml:space="preserve">   </w:t>
      </w:r>
      <w:r>
        <w:rPr>
          <w:b/>
          <w:color w:val="1A2A6C"/>
          <w:sz w:val="32"/>
        </w:rPr>
        <w:t>FREIGHT QUOTE</w:t>
      </w:r>
    </w:p>
    <w:p>
      <w:pPr>
        <w:spacing w:after="80"/>
      </w:pPr>
      <w:r>
        <w:rPr>
          <w:b w:val="0"/>
          <w:color w:val="777777"/>
          <w:sz w:val="18"/>
        </w:rPr>
        <w:t>Smart Freight Rate Platform  |  Quote No. SHAQ-NGB-MEA-260910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  <w:color w:val="999999"/>
                <w:sz w:val="18"/>
              </w:rPr>
              <w:t>Quote Date</w:t>
            </w:r>
          </w:p>
          <w:p>
            <w:r>
              <w:rPr>
                <w:b/>
                <w:sz w:val="20"/>
              </w:rPr>
              <w:t>September 10, 2026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999999"/>
                <w:sz w:val="18"/>
              </w:rPr>
              <w:t>Valid Until</w:t>
            </w:r>
          </w:p>
          <w:p>
            <w:r>
              <w:rPr>
                <w:b/>
                <w:sz w:val="20"/>
              </w:rPr>
              <w:t>September 19, 2026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999999"/>
                <w:sz w:val="18"/>
              </w:rPr>
              <w:t>Issued By</w:t>
            </w:r>
          </w:p>
          <w:p>
            <w:r>
              <w:rPr>
                <w:b/>
                <w:sz w:val="20"/>
              </w:rPr>
              <w:t>Aaron — SHAQ Logistics</w:t>
              <w:br/>
              <w:t>WhatsApp: +86 158 1850 5125</w:t>
            </w:r>
          </w:p>
        </w:tc>
      </w:tr>
    </w:tbl>
    <w:p/>
    <w:p>
      <w:pPr>
        <w:spacing w:after="80"/>
      </w:pPr>
      <w:r>
        <w:rPr>
          <w:b/>
          <w:color w:val="1A2A6C"/>
          <w:sz w:val="20"/>
        </w:rPr>
        <w:t>Route: Ningbo, China (CNNGB)  →  Jebel Ali, UAE (AEJEA) / Sohar, Oman (OMSOH)  —  MSC</w:t>
      </w:r>
    </w:p>
    <w:p>
      <w:pPr>
        <w:spacing w:after="80"/>
      </w:pPr>
      <w:r>
        <w:rPr>
          <w:b/>
          <w:color w:val="7A5C00"/>
          <w:sz w:val="20"/>
        </w:rPr>
        <w:t>All rates valid until September 19, 2026 — lock now to secure.</w:t>
      </w:r>
    </w:p>
    <w:p>
      <w:pPr>
        <w:spacing w:after="40"/>
      </w:pPr>
      <w:r>
        <w:rPr>
          <w:b/>
          <w:color w:val="1A2A6C"/>
          <w:sz w:val="22"/>
        </w:rPr>
        <w:t>Ocean Freight Rates — FCL (USD per Container)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  <w:shd w:fill="1A2A6C"/>
          </w:tcPr>
          <w:p>
            <w:r/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960"/>
            <w:shd w:fill="1A2A6C"/>
          </w:tcPr>
          <w:p>
            <w:r/>
            <w:r>
              <w:rPr>
                <w:b/>
                <w:color w:val="FFFFFF"/>
                <w:sz w:val="18"/>
              </w:rPr>
              <w:t>Destination (POD)</w:t>
            </w:r>
          </w:p>
        </w:tc>
        <w:tc>
          <w:tcPr>
            <w:tcW w:type="dxa" w:w="960"/>
            <w:shd w:fill="1A2A6C"/>
          </w:tcPr>
          <w:p>
            <w:r/>
            <w:r>
              <w:rPr>
                <w:b/>
                <w:color w:val="FFFFFF"/>
                <w:sz w:val="18"/>
              </w:rPr>
              <w:t>Code</w:t>
            </w:r>
          </w:p>
        </w:tc>
        <w:tc>
          <w:tcPr>
            <w:tcW w:type="dxa" w:w="960"/>
            <w:shd w:fill="1A2A6C"/>
          </w:tcPr>
          <w:p>
            <w:r/>
            <w:r>
              <w:rPr>
                <w:b/>
                <w:color w:val="FFFFFF"/>
                <w:sz w:val="18"/>
              </w:rPr>
              <w:t>Container</w:t>
            </w:r>
          </w:p>
        </w:tc>
        <w:tc>
          <w:tcPr>
            <w:tcW w:type="dxa" w:w="960"/>
            <w:shd w:fill="1A2A6C"/>
          </w:tcPr>
          <w:p>
            <w:r/>
            <w:r>
              <w:rPr>
                <w:b/>
                <w:color w:val="FFFFFF"/>
                <w:sz w:val="18"/>
              </w:rPr>
              <w:t>Transit</w:t>
            </w:r>
          </w:p>
        </w:tc>
        <w:tc>
          <w:tcPr>
            <w:tcW w:type="dxa" w:w="960"/>
            <w:shd w:fill="1A2A6C"/>
          </w:tcPr>
          <w:p>
            <w:r/>
            <w:r>
              <w:rPr>
                <w:b/>
                <w:color w:val="FFFFFF"/>
                <w:sz w:val="18"/>
              </w:rPr>
              <w:t>Ocean Freight</w:t>
            </w:r>
          </w:p>
        </w:tc>
        <w:tc>
          <w:tcPr>
            <w:tcW w:type="dxa" w:w="960"/>
            <w:shd w:fill="1A2A6C"/>
          </w:tcPr>
          <w:p>
            <w:r/>
            <w:r>
              <w:rPr>
                <w:b/>
                <w:color w:val="FFFFFF"/>
                <w:sz w:val="18"/>
              </w:rPr>
              <w:t>Telex Release</w:t>
            </w:r>
          </w:p>
        </w:tc>
        <w:tc>
          <w:tcPr>
            <w:tcW w:type="dxa" w:w="960"/>
            <w:shd w:fill="1A2A6C"/>
          </w:tcPr>
          <w:p>
            <w:r/>
            <w:r>
              <w:rPr>
                <w:b/>
                <w:color w:val="FFFFFF"/>
                <w:sz w:val="18"/>
              </w:rPr>
              <w:t>Free Time</w:t>
            </w:r>
          </w:p>
        </w:tc>
        <w:tc>
          <w:tcPr>
            <w:tcW w:type="dxa" w:w="960"/>
            <w:shd w:fill="1A2A6C"/>
          </w:tcPr>
          <w:p>
            <w:r/>
            <w:r>
              <w:rPr>
                <w:b/>
                <w:color w:val="FFFFFF"/>
                <w:sz w:val="18"/>
              </w:rPr>
              <w:t>Total</w:t>
            </w:r>
          </w:p>
        </w:tc>
      </w:tr>
      <w:tr>
        <w:tc>
          <w:tcPr>
            <w:tcW w:type="dxa" w:w="960"/>
          </w:tcPr>
          <w:p>
            <w:r/>
            <w:r>
              <w:rPr>
                <w:b/>
                <w:sz w:val="18"/>
              </w:rPr>
              <w:t>1</w:t>
            </w:r>
          </w:p>
        </w:tc>
        <w:tc>
          <w:tcPr>
            <w:tcW w:type="dxa" w:w="960"/>
          </w:tcPr>
          <w:p>
            <w:r/>
            <w:r>
              <w:rPr>
                <w:sz w:val="18"/>
              </w:rPr>
              <w:t>Jebel Ali — UAE</w:t>
            </w:r>
          </w:p>
        </w:tc>
        <w:tc>
          <w:tcPr>
            <w:tcW w:type="dxa" w:w="960"/>
          </w:tcPr>
          <w:p>
            <w:r/>
            <w:r>
              <w:rPr>
                <w:sz w:val="18"/>
              </w:rPr>
              <w:t>AEJEA</w:t>
            </w:r>
          </w:p>
        </w:tc>
        <w:tc>
          <w:tcPr>
            <w:tcW w:type="dxa" w:w="960"/>
          </w:tcPr>
          <w:p>
            <w:r/>
            <w:r>
              <w:rPr>
                <w:sz w:val="18"/>
              </w:rPr>
              <w:t>20'GP</w:t>
            </w:r>
          </w:p>
        </w:tc>
        <w:tc>
          <w:tcPr>
            <w:tcW w:type="dxa" w:w="960"/>
          </w:tcPr>
          <w:p>
            <w:r/>
            <w:r>
              <w:rPr>
                <w:sz w:val="18"/>
              </w:rPr>
              <w:t>33 Days</w:t>
            </w:r>
          </w:p>
        </w:tc>
        <w:tc>
          <w:tcPr>
            <w:tcW w:type="dxa" w:w="960"/>
          </w:tcPr>
          <w:p>
            <w:pPr>
              <w:jc w:val="right"/>
            </w:pPr>
            <w:r/>
            <w:r>
              <w:rPr>
                <w:b/>
                <w:sz w:val="18"/>
              </w:rPr>
              <w:t>8,100.00</w:t>
            </w:r>
          </w:p>
        </w:tc>
        <w:tc>
          <w:tcPr>
            <w:tcW w:type="dxa" w:w="960"/>
          </w:tcPr>
          <w:p>
            <w:pPr>
              <w:jc w:val="right"/>
            </w:pPr>
            <w:r/>
            <w:r>
              <w:rPr>
                <w:b/>
                <w:sz w:val="18"/>
              </w:rPr>
              <w:t>80.00</w:t>
            </w:r>
          </w:p>
        </w:tc>
        <w:tc>
          <w:tcPr>
            <w:tcW w:type="dxa" w:w="960"/>
          </w:tcPr>
          <w:p>
            <w:pPr>
              <w:jc w:val="right"/>
            </w:pPr>
            <w:r/>
            <w:r>
              <w:rPr>
                <w:sz w:val="18"/>
              </w:rPr>
              <w:t>14 Days</w:t>
            </w:r>
          </w:p>
        </w:tc>
        <w:tc>
          <w:tcPr>
            <w:tcW w:type="dxa" w:w="960"/>
          </w:tcPr>
          <w:p>
            <w:pPr>
              <w:jc w:val="right"/>
            </w:pPr>
            <w:r/>
            <w:r>
              <w:rPr>
                <w:b/>
                <w:sz w:val="18"/>
              </w:rPr>
              <w:t>8,180.00</w:t>
            </w:r>
          </w:p>
        </w:tc>
      </w:tr>
      <w:tr>
        <w:tc>
          <w:tcPr>
            <w:tcW w:type="dxa" w:w="960"/>
          </w:tcPr>
          <w:p>
            <w:r/>
            <w:r>
              <w:rPr>
                <w:b/>
                <w:sz w:val="18"/>
              </w:rPr>
              <w:t>2</w:t>
            </w:r>
          </w:p>
        </w:tc>
        <w:tc>
          <w:tcPr>
            <w:tcW w:type="dxa" w:w="960"/>
          </w:tcPr>
          <w:p>
            <w:r/>
            <w:r>
              <w:rPr>
                <w:sz w:val="18"/>
              </w:rPr>
              <w:t>Jebel Ali — UAE</w:t>
            </w:r>
          </w:p>
        </w:tc>
        <w:tc>
          <w:tcPr>
            <w:tcW w:type="dxa" w:w="960"/>
          </w:tcPr>
          <w:p>
            <w:r/>
            <w:r>
              <w:rPr>
                <w:sz w:val="18"/>
              </w:rPr>
              <w:t>AEJEA</w:t>
            </w:r>
          </w:p>
        </w:tc>
        <w:tc>
          <w:tcPr>
            <w:tcW w:type="dxa" w:w="960"/>
          </w:tcPr>
          <w:p>
            <w:r/>
            <w:r>
              <w:rPr>
                <w:sz w:val="18"/>
              </w:rPr>
              <w:t>40'GP</w:t>
            </w:r>
          </w:p>
        </w:tc>
        <w:tc>
          <w:tcPr>
            <w:tcW w:type="dxa" w:w="960"/>
          </w:tcPr>
          <w:p>
            <w:r/>
            <w:r>
              <w:rPr>
                <w:sz w:val="18"/>
              </w:rPr>
              <w:t>33 Days</w:t>
            </w:r>
          </w:p>
        </w:tc>
        <w:tc>
          <w:tcPr>
            <w:tcW w:type="dxa" w:w="960"/>
          </w:tcPr>
          <w:p>
            <w:pPr>
              <w:jc w:val="right"/>
            </w:pPr>
            <w:r/>
            <w:r>
              <w:rPr>
                <w:b/>
                <w:sz w:val="18"/>
              </w:rPr>
              <w:t>8,900.00</w:t>
            </w:r>
          </w:p>
        </w:tc>
        <w:tc>
          <w:tcPr>
            <w:tcW w:type="dxa" w:w="960"/>
          </w:tcPr>
          <w:p>
            <w:pPr>
              <w:jc w:val="right"/>
            </w:pPr>
            <w:r/>
            <w:r>
              <w:rPr>
                <w:b/>
                <w:sz w:val="18"/>
              </w:rPr>
              <w:t>80.00</w:t>
            </w:r>
          </w:p>
        </w:tc>
        <w:tc>
          <w:tcPr>
            <w:tcW w:type="dxa" w:w="960"/>
          </w:tcPr>
          <w:p>
            <w:pPr>
              <w:jc w:val="right"/>
            </w:pPr>
            <w:r/>
            <w:r>
              <w:rPr>
                <w:sz w:val="18"/>
              </w:rPr>
              <w:t>14 Days</w:t>
            </w:r>
          </w:p>
        </w:tc>
        <w:tc>
          <w:tcPr>
            <w:tcW w:type="dxa" w:w="960"/>
          </w:tcPr>
          <w:p>
            <w:pPr>
              <w:jc w:val="right"/>
            </w:pPr>
            <w:r/>
            <w:r>
              <w:rPr>
                <w:b/>
                <w:sz w:val="18"/>
              </w:rPr>
              <w:t>8,980.00</w:t>
            </w:r>
          </w:p>
        </w:tc>
      </w:tr>
      <w:tr>
        <w:tc>
          <w:tcPr>
            <w:tcW w:type="dxa" w:w="960"/>
          </w:tcPr>
          <w:p>
            <w:r/>
            <w:r>
              <w:rPr>
                <w:b/>
                <w:sz w:val="18"/>
              </w:rPr>
              <w:t>3</w:t>
            </w:r>
          </w:p>
        </w:tc>
        <w:tc>
          <w:tcPr>
            <w:tcW w:type="dxa" w:w="960"/>
          </w:tcPr>
          <w:p>
            <w:r/>
            <w:r>
              <w:rPr>
                <w:sz w:val="18"/>
              </w:rPr>
              <w:t>Sohar — Oman</w:t>
            </w:r>
          </w:p>
        </w:tc>
        <w:tc>
          <w:tcPr>
            <w:tcW w:type="dxa" w:w="960"/>
          </w:tcPr>
          <w:p>
            <w:r/>
            <w:r>
              <w:rPr>
                <w:sz w:val="18"/>
              </w:rPr>
              <w:t>OMSOH</w:t>
            </w:r>
          </w:p>
        </w:tc>
        <w:tc>
          <w:tcPr>
            <w:tcW w:type="dxa" w:w="960"/>
          </w:tcPr>
          <w:p>
            <w:r/>
            <w:r>
              <w:rPr>
                <w:sz w:val="18"/>
              </w:rPr>
              <w:t>20'GP</w:t>
            </w:r>
          </w:p>
        </w:tc>
        <w:tc>
          <w:tcPr>
            <w:tcW w:type="dxa" w:w="960"/>
          </w:tcPr>
          <w:p>
            <w:r/>
            <w:r>
              <w:rPr>
                <w:sz w:val="18"/>
              </w:rPr>
              <w:t>35 Days</w:t>
            </w:r>
          </w:p>
        </w:tc>
        <w:tc>
          <w:tcPr>
            <w:tcW w:type="dxa" w:w="960"/>
          </w:tcPr>
          <w:p>
            <w:pPr>
              <w:jc w:val="right"/>
            </w:pPr>
            <w:r/>
            <w:r>
              <w:rPr>
                <w:b/>
                <w:sz w:val="18"/>
              </w:rPr>
              <w:t>7,100.00</w:t>
            </w:r>
          </w:p>
        </w:tc>
        <w:tc>
          <w:tcPr>
            <w:tcW w:type="dxa" w:w="960"/>
          </w:tcPr>
          <w:p>
            <w:pPr>
              <w:jc w:val="right"/>
            </w:pPr>
            <w:r/>
            <w:r>
              <w:rPr>
                <w:b/>
                <w:sz w:val="18"/>
              </w:rPr>
              <w:t>80.00</w:t>
            </w:r>
          </w:p>
        </w:tc>
        <w:tc>
          <w:tcPr>
            <w:tcW w:type="dxa" w:w="960"/>
          </w:tcPr>
          <w:p>
            <w:pPr>
              <w:jc w:val="right"/>
            </w:pPr>
            <w:r/>
            <w:r>
              <w:rPr>
                <w:sz w:val="18"/>
              </w:rPr>
              <w:t>12 Days</w:t>
            </w:r>
          </w:p>
        </w:tc>
        <w:tc>
          <w:tcPr>
            <w:tcW w:type="dxa" w:w="960"/>
          </w:tcPr>
          <w:p>
            <w:pPr>
              <w:jc w:val="right"/>
            </w:pPr>
            <w:r/>
            <w:r>
              <w:rPr>
                <w:b/>
                <w:sz w:val="18"/>
              </w:rPr>
              <w:t>7,180.00</w:t>
            </w:r>
          </w:p>
        </w:tc>
      </w:tr>
      <w:tr>
        <w:tc>
          <w:tcPr>
            <w:tcW w:type="dxa" w:w="960"/>
          </w:tcPr>
          <w:p>
            <w:r/>
            <w:r>
              <w:rPr>
                <w:b/>
                <w:sz w:val="18"/>
              </w:rPr>
              <w:t>4</w:t>
            </w:r>
          </w:p>
        </w:tc>
        <w:tc>
          <w:tcPr>
            <w:tcW w:type="dxa" w:w="960"/>
          </w:tcPr>
          <w:p>
            <w:r/>
            <w:r>
              <w:rPr>
                <w:sz w:val="18"/>
              </w:rPr>
              <w:t>Sohar — Oman</w:t>
            </w:r>
          </w:p>
        </w:tc>
        <w:tc>
          <w:tcPr>
            <w:tcW w:type="dxa" w:w="960"/>
          </w:tcPr>
          <w:p>
            <w:r/>
            <w:r>
              <w:rPr>
                <w:sz w:val="18"/>
              </w:rPr>
              <w:t>OMSOH</w:t>
            </w:r>
          </w:p>
        </w:tc>
        <w:tc>
          <w:tcPr>
            <w:tcW w:type="dxa" w:w="960"/>
          </w:tcPr>
          <w:p>
            <w:r/>
            <w:r>
              <w:rPr>
                <w:sz w:val="18"/>
              </w:rPr>
              <w:t>40'GP</w:t>
            </w:r>
          </w:p>
        </w:tc>
        <w:tc>
          <w:tcPr>
            <w:tcW w:type="dxa" w:w="960"/>
          </w:tcPr>
          <w:p>
            <w:r/>
            <w:r>
              <w:rPr>
                <w:sz w:val="18"/>
              </w:rPr>
              <w:t>35 Days</w:t>
            </w:r>
          </w:p>
        </w:tc>
        <w:tc>
          <w:tcPr>
            <w:tcW w:type="dxa" w:w="960"/>
          </w:tcPr>
          <w:p>
            <w:pPr>
              <w:jc w:val="right"/>
            </w:pPr>
            <w:r/>
            <w:r>
              <w:rPr>
                <w:b/>
                <w:sz w:val="18"/>
              </w:rPr>
              <w:t>8,500.00</w:t>
            </w:r>
          </w:p>
        </w:tc>
        <w:tc>
          <w:tcPr>
            <w:tcW w:type="dxa" w:w="960"/>
          </w:tcPr>
          <w:p>
            <w:pPr>
              <w:jc w:val="right"/>
            </w:pPr>
            <w:r/>
            <w:r>
              <w:rPr>
                <w:b/>
                <w:sz w:val="18"/>
              </w:rPr>
              <w:t>80.00</w:t>
            </w:r>
          </w:p>
        </w:tc>
        <w:tc>
          <w:tcPr>
            <w:tcW w:type="dxa" w:w="960"/>
          </w:tcPr>
          <w:p>
            <w:pPr>
              <w:jc w:val="right"/>
            </w:pPr>
            <w:r/>
            <w:r>
              <w:rPr>
                <w:sz w:val="18"/>
              </w:rPr>
              <w:t>12 Days</w:t>
            </w:r>
          </w:p>
        </w:tc>
        <w:tc>
          <w:tcPr>
            <w:tcW w:type="dxa" w:w="960"/>
          </w:tcPr>
          <w:p>
            <w:pPr>
              <w:jc w:val="right"/>
            </w:pPr>
            <w:r/>
            <w:r>
              <w:rPr>
                <w:b/>
                <w:sz w:val="18"/>
              </w:rPr>
              <w:t>8,580.00</w:t>
            </w:r>
          </w:p>
        </w:tc>
      </w:tr>
    </w:tbl>
    <w:p>
      <w:pPr>
        <w:spacing w:after="80"/>
      </w:pPr>
      <w:r>
        <w:rPr>
          <w:b w:val="0"/>
          <w:color w:val="777777"/>
          <w:sz w:val="18"/>
        </w:rPr>
        <w:t>Rates are quoted per container, in USD. Each line is an independent lane and equipment size — rates are not cumulative. Telex release is charged at USD 80 per Bill of Lading, not per container. Free time is counted at destination.</w:t>
      </w:r>
    </w:p>
    <w:p/>
    <w:p>
      <w:pPr>
        <w:spacing w:after="40"/>
      </w:pPr>
      <w:r>
        <w:rPr>
          <w:b/>
          <w:color w:val="1A2A6C"/>
          <w:sz w:val="22"/>
        </w:rPr>
        <w:t>Ocean Freight Rates — LCL (USD per CBM)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1A2A6C"/>
          </w:tcPr>
          <w:p>
            <w:r/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728"/>
            <w:shd w:fill="1A2A6C"/>
          </w:tcPr>
          <w:p>
            <w:r/>
            <w:r>
              <w:rPr>
                <w:b/>
                <w:color w:val="FFFFFF"/>
                <w:sz w:val="18"/>
              </w:rPr>
              <w:t>Destination (POD)</w:t>
            </w:r>
          </w:p>
        </w:tc>
        <w:tc>
          <w:tcPr>
            <w:tcW w:type="dxa" w:w="1728"/>
            <w:shd w:fill="1A2A6C"/>
          </w:tcPr>
          <w:p>
            <w:r/>
            <w:r>
              <w:rPr>
                <w:b/>
                <w:color w:val="FFFFFF"/>
                <w:sz w:val="18"/>
              </w:rPr>
              <w:t>Code</w:t>
            </w:r>
          </w:p>
        </w:tc>
        <w:tc>
          <w:tcPr>
            <w:tcW w:type="dxa" w:w="1728"/>
            <w:shd w:fill="1A2A6C"/>
          </w:tcPr>
          <w:p>
            <w:r/>
            <w:r>
              <w:rPr>
                <w:b/>
                <w:color w:val="FFFFFF"/>
                <w:sz w:val="18"/>
              </w:rPr>
              <w:t>Transit Time</w:t>
            </w:r>
          </w:p>
        </w:tc>
        <w:tc>
          <w:tcPr>
            <w:tcW w:type="dxa" w:w="1728"/>
            <w:shd w:fill="1A2A6C"/>
          </w:tcPr>
          <w:p>
            <w:r/>
            <w:r>
              <w:rPr>
                <w:b/>
                <w:color w:val="FFFFFF"/>
                <w:sz w:val="18"/>
              </w:rPr>
              <w:t>Ocean Freight (USD / CBM)</w:t>
            </w:r>
          </w:p>
        </w:tc>
      </w:tr>
      <w:tr>
        <w:tc>
          <w:tcPr>
            <w:tcW w:type="dxa" w:w="1728"/>
          </w:tcPr>
          <w:p>
            <w:r/>
            <w:r>
              <w:rPr>
                <w:b/>
                <w:sz w:val="18"/>
              </w:rPr>
              <w:t>1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Jebel Ali — UAE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AEJEA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33 Days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b/>
                <w:sz w:val="18"/>
              </w:rPr>
              <w:t>5.00</w:t>
            </w:r>
          </w:p>
        </w:tc>
      </w:tr>
      <w:tr>
        <w:tc>
          <w:tcPr>
            <w:tcW w:type="dxa" w:w="1728"/>
          </w:tcPr>
          <w:p>
            <w:r/>
            <w:r>
              <w:rPr>
                <w:b/>
                <w:sz w:val="18"/>
              </w:rPr>
              <w:t>2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Sohar — Oman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OMSOH</w:t>
            </w:r>
          </w:p>
        </w:tc>
        <w:tc>
          <w:tcPr>
            <w:tcW w:type="dxa" w:w="1728"/>
          </w:tcPr>
          <w:p>
            <w:r/>
            <w:r>
              <w:rPr>
                <w:sz w:val="18"/>
              </w:rPr>
              <w:t>35 Days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b/>
                <w:sz w:val="18"/>
              </w:rPr>
              <w:t>60.00</w:t>
            </w:r>
          </w:p>
        </w:tc>
      </w:tr>
    </w:tbl>
    <w:p>
      <w:pPr>
        <w:spacing w:after="80"/>
      </w:pPr>
      <w:r>
        <w:rPr>
          <w:b w:val="0"/>
          <w:color w:val="777777"/>
          <w:sz w:val="18"/>
        </w:rPr>
        <w:t>LCL rates are quoted per CBM, in USD, subject to the applicable minimum charge at origin. Origin CFS, destination CFS, THC and delivery order charges are quoted separately at actuals.</w:t>
      </w:r>
    </w:p>
    <w:p/>
    <w:p>
      <w:pPr>
        <w:spacing w:after="40"/>
      </w:pPr>
      <w:r>
        <w:rPr>
          <w:b/>
          <w:color w:val="1A2A6C"/>
          <w:sz w:val="22"/>
        </w:rPr>
        <w:t>Shipment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Service 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Ocean Freight — FCL &amp; LCL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Carrier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MSC (FCL) · LCL consolidation to be confirmed at booking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Origin Port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Ningbo, China (CNNGB)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Destination Port — Lane 1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Jebel Ali, United Arab Emirates (AEJEA)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Destination Port — Lane 2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Sohar, Oman (OMSOH)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Equipment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20'GP / 40'GP (FCL) · LCL per CBM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Transit Time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33 Days (Jebel Ali) · 35 Days (Sohar)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Free Time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14 Days (Jebel Ali) · 12 Days (Sohar)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Telex Release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USD 80 / B/L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Currency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USD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Validity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September 19, 2026</w:t>
            </w:r>
          </w:p>
        </w:tc>
      </w:tr>
    </w:tbl>
    <w:p/>
    <w:p>
      <w:pPr>
        <w:spacing w:after="40"/>
      </w:pPr>
      <w:r>
        <w:rPr>
          <w:b/>
          <w:color w:val="1A2A6C"/>
          <w:sz w:val="22"/>
        </w:rPr>
        <w:t>Terms &amp; Remarks</w:t>
      </w:r>
    </w:p>
    <w:p>
      <w:pPr>
        <w:pStyle w:val="ListBullet"/>
      </w:pPr>
      <w:r>
        <w:rPr>
          <w:sz w:val="19"/>
        </w:rPr>
        <w:t>All rates are quoted in USD and valid until September 19, 2026, subject to space availability at time of booking.</w:t>
      </w:r>
    </w:p>
    <w:p>
      <w:pPr>
        <w:pStyle w:val="ListBullet"/>
      </w:pPr>
      <w:r>
        <w:rPr>
          <w:sz w:val="19"/>
        </w:rPr>
        <w:t>FCL rates are per container; LCL rates are per CBM, subject to the applicable minimum charge at origin.</w:t>
      </w:r>
    </w:p>
    <w:p>
      <w:pPr>
        <w:pStyle w:val="ListBullet"/>
      </w:pPr>
      <w:r>
        <w:rPr>
          <w:sz w:val="19"/>
        </w:rPr>
        <w:t>Telex release fee: USD 80 per Bill of Lading.</w:t>
      </w:r>
    </w:p>
    <w:p>
      <w:pPr>
        <w:pStyle w:val="ListBullet"/>
      </w:pPr>
      <w:r>
        <w:rPr>
          <w:sz w:val="19"/>
        </w:rPr>
        <w:t>Free time: 14 days at Jebel Ali, 12 days at Sohar.</w:t>
      </w:r>
    </w:p>
    <w:p>
      <w:pPr>
        <w:pStyle w:val="ListBullet"/>
      </w:pPr>
      <w:r>
        <w:rPr>
          <w:sz w:val="19"/>
        </w:rPr>
        <w:t>Transit times are estimates and may vary with carrier schedule and routing.</w:t>
      </w:r>
    </w:p>
    <w:p>
      <w:pPr>
        <w:pStyle w:val="ListBullet"/>
      </w:pPr>
      <w:r>
        <w:rPr>
          <w:sz w:val="19"/>
        </w:rPr>
        <w:t>Origin and destination local charges, CFS fees, import duties, taxes and delivery order charges are not included unless stated.</w:t>
      </w:r>
    </w:p>
    <w:p>
      <w:pPr>
        <w:pStyle w:val="ListBullet"/>
      </w:pPr>
      <w:r>
        <w:rPr>
          <w:sz w:val="19"/>
        </w:rPr>
        <w:t>Rates apply to general cargo; hazardous, oversized, out-of-gauge or reefer cargo is quoted separately.</w:t>
      </w:r>
    </w:p>
    <w:p/>
    <w:p>
      <w:pPr>
        <w:spacing w:after="80"/>
        <w:jc w:val="center"/>
      </w:pPr>
      <w:r>
        <w:rPr>
          <w:b/>
          <w:sz w:val="19"/>
        </w:rPr>
        <w:t>Contact: Aaron — WhatsApp +86 158 1850 5125   |   https://search.shaq-logistics.com</w:t>
      </w:r>
    </w:p>
    <w:p>
      <w:pPr>
        <w:spacing w:after="80"/>
        <w:jc w:val="center"/>
      </w:pPr>
      <w:r>
        <w:rPr>
          <w:b w:val="0"/>
          <w:color w:val="888888"/>
          <w:sz w:val="17"/>
        </w:rPr>
        <w:t>SHAQ Logistics — Room 3702, Long Park Chong Chin Building, No. 2010 Bao'an South Road, Luohu District, Shenzhen, China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