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>SHAQ LOGISTICS</w:t>
      </w:r>
    </w:p>
    <w:p>
      <w:r>
        <w:rPr>
          <w:color w:val="666666"/>
          <w:sz w:val="20"/>
        </w:rPr>
        <w:t>Smart Freight Rate Platform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color w:val="1A2A6C"/>
                <w:sz w:val="36"/>
              </w:rPr>
              <w:t>FREIGHT QUOTE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color w:val="666666"/>
                <w:sz w:val="22"/>
              </w:rPr>
              <w:t>No. SHAQ-NGB-BUE-260915</w:t>
            </w:r>
          </w:p>
        </w:tc>
      </w:tr>
    </w:tbl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color w:val="666666"/>
                <w:sz w:val="18"/>
              </w:rPr>
              <w:t>Quote Date</w:t>
            </w:r>
            <w:r>
              <w:rPr>
                <w:sz w:val="20"/>
              </w:rPr>
              <w:t>September 15, 2026</w:t>
            </w:r>
          </w:p>
        </w:tc>
        <w:tc>
          <w:tcPr>
            <w:tcW w:type="dxa" w:w="2880"/>
          </w:tcPr>
          <w:p>
            <w:r>
              <w:rPr>
                <w:b/>
                <w:color w:val="666666"/>
                <w:sz w:val="18"/>
              </w:rPr>
              <w:t>Valid Until</w:t>
            </w:r>
            <w:r>
              <w:rPr>
                <w:sz w:val="20"/>
              </w:rPr>
              <w:t>September 21, 2026</w:t>
            </w:r>
          </w:p>
        </w:tc>
        <w:tc>
          <w:tcPr>
            <w:tcW w:type="dxa" w:w="2880"/>
          </w:tcPr>
          <w:p>
            <w:r>
              <w:rPr>
                <w:b/>
                <w:color w:val="666666"/>
                <w:sz w:val="18"/>
              </w:rPr>
              <w:t>Issued By</w:t>
            </w:r>
            <w:r>
              <w:rPr>
                <w:sz w:val="20"/>
              </w:rPr>
              <w:t>Aaron - SHAQ Logistics</w:t>
              <w:br/>
              <w:t>WhatsApp: +86 158 1850 5125</w:t>
            </w:r>
          </w:p>
        </w:tc>
      </w:tr>
    </w:tbl>
    <w:p/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b/>
                <w:color w:val="1A2A6C"/>
                <w:sz w:val="30"/>
              </w:rPr>
              <w:t>NGB</w:t>
            </w:r>
          </w:p>
          <w:p>
            <w:pPr>
              <w:jc w:val="center"/>
            </w:pPr>
            <w:r>
              <w:rPr>
                <w:sz w:val="18"/>
              </w:rPr>
              <w:t>Ningbo, China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b/>
                <w:color w:val="1A2A6C"/>
                <w:sz w:val="30"/>
              </w:rPr>
              <w:t>BUE</w:t>
            </w:r>
          </w:p>
          <w:p>
            <w:pPr>
              <w:jc w:val="center"/>
            </w:pPr>
            <w:r>
              <w:rPr>
                <w:sz w:val="18"/>
              </w:rPr>
              <w:t>Buenos Aires, Argentina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b/>
                <w:color w:val="1A2A6C"/>
                <w:sz w:val="30"/>
              </w:rPr>
              <w:t>COSCO</w:t>
            </w:r>
          </w:p>
          <w:p>
            <w:pPr>
              <w:jc w:val="center"/>
            </w:pPr>
            <w:r>
              <w:rPr>
                <w:sz w:val="18"/>
              </w:rPr>
              <w:t>1 x 40HC</w:t>
            </w:r>
          </w:p>
        </w:tc>
      </w:tr>
    </w:tbl>
    <w:p>
      <w:pPr>
        <w:jc w:val="center"/>
      </w:pPr>
      <w:r>
        <w:rPr>
          <w:b/>
          <w:color w:val="7A5C00"/>
          <w:sz w:val="21"/>
        </w:rPr>
        <w:t>All rates valid until September 21, 2026 - lock now to secure.</w:t>
      </w:r>
    </w:p>
    <w:p>
      <w:pPr>
        <w:pStyle w:val="Heading2"/>
      </w:pPr>
      <w:r>
        <w:rPr>
          <w:color w:val="1A2A6C"/>
        </w:rPr>
        <w:t>Freight Charges - Ningbo to Buenos Aires (USD)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  <w:color w:val="1A2A6C"/>
                <w:sz w:val="18"/>
              </w:rPr>
              <w:t>#</w:t>
            </w:r>
          </w:p>
        </w:tc>
        <w:tc>
          <w:tcPr>
            <w:tcW w:type="dxa" w:w="1440"/>
          </w:tcPr>
          <w:p>
            <w:r>
              <w:rPr>
                <w:b/>
                <w:color w:val="1A2A6C"/>
                <w:sz w:val="18"/>
              </w:rPr>
              <w:t>Charge</w:t>
            </w:r>
          </w:p>
        </w:tc>
        <w:tc>
          <w:tcPr>
            <w:tcW w:type="dxa" w:w="1440"/>
          </w:tcPr>
          <w:p>
            <w:r>
              <w:rPr>
                <w:b/>
                <w:color w:val="1A2A6C"/>
                <w:sz w:val="18"/>
              </w:rPr>
              <w:t>Basis</w:t>
            </w:r>
          </w:p>
        </w:tc>
        <w:tc>
          <w:tcPr>
            <w:tcW w:type="dxa" w:w="1440"/>
          </w:tcPr>
          <w:p>
            <w:r>
              <w:rPr>
                <w:b/>
                <w:color w:val="1A2A6C"/>
                <w:sz w:val="18"/>
              </w:rPr>
              <w:t>Qty</w:t>
            </w:r>
          </w:p>
        </w:tc>
        <w:tc>
          <w:tcPr>
            <w:tcW w:type="dxa" w:w="1440"/>
          </w:tcPr>
          <w:p>
            <w:r>
              <w:rPr>
                <w:b/>
                <w:color w:val="1A2A6C"/>
                <w:sz w:val="18"/>
              </w:rPr>
              <w:t>Unit Price</w:t>
            </w:r>
          </w:p>
        </w:tc>
        <w:tc>
          <w:tcPr>
            <w:tcW w:type="dxa" w:w="1440"/>
          </w:tcPr>
          <w:p>
            <w:r>
              <w:rPr>
                <w:b/>
                <w:color w:val="1A2A6C"/>
                <w:sz w:val="18"/>
              </w:rPr>
              <w:t>Amount</w:t>
            </w:r>
          </w:p>
        </w:tc>
      </w:tr>
      <w:tr>
        <w:tc>
          <w:tcPr>
            <w:tcW w:type="dxa" w:w="1440"/>
          </w:tcPr>
          <w:p>
            <w:r>
              <w:rPr>
                <w:color w:val="666666"/>
                <w:sz w:val="19"/>
              </w:rPr>
              <w:t>1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Ocean Freight (OF)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per 40HC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1440"/>
          </w:tcPr>
          <w:p>
            <w:r>
              <w:rPr>
                <w:color w:val="666666"/>
                <w:sz w:val="19"/>
              </w:rPr>
              <w:t>8,800.00</w:t>
            </w:r>
          </w:p>
        </w:tc>
        <w:tc>
          <w:tcPr>
            <w:tcW w:type="dxa" w:w="1440"/>
          </w:tcPr>
          <w:p>
            <w:r>
              <w:rPr>
                <w:color w:val="666666"/>
                <w:sz w:val="19"/>
              </w:rPr>
              <w:t>8,800.00</w:t>
            </w:r>
          </w:p>
        </w:tc>
      </w:tr>
      <w:tr>
        <w:tc>
          <w:tcPr>
            <w:tcW w:type="dxa" w:w="1440"/>
          </w:tcPr>
          <w:p>
            <w:r>
              <w:rPr>
                <w:color w:val="666666"/>
                <w:sz w:val="19"/>
              </w:rPr>
              <w:t>2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Container Protect Essential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per 40HC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1440"/>
          </w:tcPr>
          <w:p>
            <w:r>
              <w:rPr>
                <w:color w:val="666666"/>
                <w:sz w:val="19"/>
              </w:rPr>
              <w:t>100.00</w:t>
            </w:r>
          </w:p>
        </w:tc>
        <w:tc>
          <w:tcPr>
            <w:tcW w:type="dxa" w:w="1440"/>
          </w:tcPr>
          <w:p>
            <w:r>
              <w:rPr>
                <w:color w:val="666666"/>
                <w:sz w:val="19"/>
              </w:rPr>
              <w:t>100.00</w:t>
            </w:r>
          </w:p>
        </w:tc>
      </w:tr>
      <w:tr>
        <w:tc>
          <w:tcPr>
            <w:tcW w:type="dxa" w:w="1440"/>
          </w:tcPr>
          <w:p>
            <w:r>
              <w:rPr>
                <w:color w:val="666666"/>
                <w:sz w:val="19"/>
              </w:rPr>
              <w:t>3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Import Service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per 40HC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1440"/>
          </w:tcPr>
          <w:p>
            <w:r>
              <w:rPr>
                <w:color w:val="666666"/>
                <w:sz w:val="19"/>
              </w:rPr>
              <w:t>325.00</w:t>
            </w:r>
          </w:p>
        </w:tc>
        <w:tc>
          <w:tcPr>
            <w:tcW w:type="dxa" w:w="1440"/>
          </w:tcPr>
          <w:p>
            <w:r>
              <w:rPr>
                <w:color w:val="666666"/>
                <w:sz w:val="19"/>
              </w:rPr>
              <w:t>325.00</w:t>
            </w:r>
          </w:p>
        </w:tc>
      </w:tr>
      <w:tr>
        <w:tc>
          <w:tcPr>
            <w:tcW w:type="dxa" w:w="1440"/>
          </w:tcPr>
          <w:p>
            <w:r>
              <w:rPr>
                <w:color w:val="666666"/>
                <w:sz w:val="19"/>
              </w:rPr>
              <w:t>4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DTHC (Destination Terminal Handling Charge)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per 40HC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1440"/>
          </w:tcPr>
          <w:p>
            <w:r>
              <w:rPr>
                <w:color w:val="666666"/>
                <w:sz w:val="19"/>
              </w:rPr>
              <w:t>305.00</w:t>
            </w:r>
          </w:p>
        </w:tc>
        <w:tc>
          <w:tcPr>
            <w:tcW w:type="dxa" w:w="1440"/>
          </w:tcPr>
          <w:p>
            <w:r>
              <w:rPr>
                <w:color w:val="666666"/>
                <w:sz w:val="19"/>
              </w:rPr>
              <w:t>305.00</w:t>
            </w:r>
          </w:p>
        </w:tc>
      </w:tr>
      <w:tr>
        <w:tc>
          <w:tcPr>
            <w:tcW w:type="dxa" w:w="1440"/>
          </w:tcPr>
          <w:p>
            <w:r>
              <w:rPr>
                <w:color w:val="666666"/>
                <w:sz w:val="19"/>
              </w:rPr>
              <w:t>5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Telex Release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per B/L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1440"/>
          </w:tcPr>
          <w:p>
            <w:r>
              <w:rPr>
                <w:color w:val="666666"/>
                <w:sz w:val="19"/>
              </w:rPr>
              <w:t>80.00</w:t>
            </w:r>
          </w:p>
        </w:tc>
        <w:tc>
          <w:tcPr>
            <w:tcW w:type="dxa" w:w="1440"/>
          </w:tcPr>
          <w:p>
            <w:r>
              <w:rPr>
                <w:color w:val="666666"/>
                <w:sz w:val="19"/>
              </w:rPr>
              <w:t>80.00</w:t>
            </w:r>
          </w:p>
        </w:tc>
      </w:tr>
      <w:tr>
        <w:tc>
          <w:tcPr>
            <w:tcW w:type="dxa" w:w="1440"/>
          </w:tcPr>
          <w:p>
            <w:r>
              <w:rPr>
                <w:color w:val="666666"/>
                <w:sz w:val="19"/>
              </w:rPr>
              <w:t>6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Documentation Fee (Destination)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per B/L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1440"/>
          </w:tcPr>
          <w:p>
            <w:r>
              <w:rPr>
                <w:color w:val="666666"/>
                <w:sz w:val="19"/>
              </w:rPr>
              <w:t>61.00</w:t>
            </w:r>
          </w:p>
        </w:tc>
        <w:tc>
          <w:tcPr>
            <w:tcW w:type="dxa" w:w="1440"/>
          </w:tcPr>
          <w:p>
            <w:r>
              <w:rPr>
                <w:color w:val="666666"/>
                <w:sz w:val="19"/>
              </w:rPr>
              <w:t>61.00</w:t>
            </w:r>
          </w:p>
        </w:tc>
      </w:tr>
      <w:tr>
        <w:tc>
          <w:tcPr>
            <w:tcW w:type="dxa" w:w="7200"/>
            <w:gridSpan w:val="5"/>
          </w:tcPr>
          <w:p>
            <w:pPr>
              <w:jc w:val="right"/>
            </w:pPr>
            <w:r>
              <w:rPr>
                <w:b/>
                <w:color w:val="C0392B"/>
              </w:rPr>
              <w:t>TOTAL (USD)</w:t>
            </w:r>
          </w:p>
        </w:tc>
        <w:tc>
          <w:tcPr>
            <w:tcW w:type="dxa" w:w="1440"/>
          </w:tcPr>
          <w:p>
            <w:r>
              <w:rPr>
                <w:b/>
                <w:color w:val="C0392B"/>
              </w:rPr>
              <w:t>9,671.00</w:t>
            </w:r>
          </w:p>
        </w:tc>
      </w:tr>
    </w:tbl>
    <w:p>
      <w:r>
        <w:rPr>
          <w:color w:val="666666"/>
          <w:sz w:val="19"/>
        </w:rPr>
        <w:t>Rates are quoted per 1 x 40'HC container, in USD. Telex Release and Documentation Fee are charged per B/L (per shipment) and apply once regardless of container count. The payable total is confirmed at booking against the final container count.</w:t>
      </w:r>
    </w:p>
    <w:p>
      <w:pPr>
        <w:pStyle w:val="Heading2"/>
      </w:pPr>
      <w:r>
        <w:rPr>
          <w:color w:val="1A2A6C"/>
        </w:rPr>
        <w:t>Shipment Details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color w:val="666666"/>
                <w:sz w:val="19"/>
              </w:rPr>
              <w:t>Service Type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Ocean Freight (FCL)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color w:val="666666"/>
                <w:sz w:val="19"/>
              </w:rPr>
              <w:t>Carrier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COSCO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color w:val="666666"/>
                <w:sz w:val="19"/>
              </w:rPr>
              <w:t>Origin Port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Ningbo, China (CNNGB)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color w:val="666666"/>
                <w:sz w:val="19"/>
              </w:rPr>
              <w:t>Destination Port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Buenos Aires, Argentina (ARBUE)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color w:val="666666"/>
                <w:sz w:val="19"/>
              </w:rPr>
              <w:t>Container Type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1 x 40HC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color w:val="666666"/>
                <w:sz w:val="19"/>
              </w:rPr>
              <w:t>Free Time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18 Days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color w:val="666666"/>
                <w:sz w:val="19"/>
              </w:rPr>
              <w:t>Transit Time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40 Days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color w:val="666666"/>
                <w:sz w:val="19"/>
              </w:rPr>
              <w:t>Currency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USD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color w:val="666666"/>
                <w:sz w:val="19"/>
              </w:rPr>
              <w:t>Validity</w:t>
            </w:r>
          </w:p>
        </w:tc>
        <w:tc>
          <w:tcPr>
            <w:tcW w:type="dxa" w:w="4320"/>
          </w:tcPr>
          <w:p>
            <w:r>
              <w:rPr>
                <w:sz w:val="19"/>
              </w:rPr>
              <w:t>September 21, 2026</w:t>
            </w:r>
          </w:p>
        </w:tc>
      </w:tr>
    </w:tbl>
    <w:p>
      <w:pPr>
        <w:pStyle w:val="Heading2"/>
      </w:pPr>
      <w:r>
        <w:rPr>
          <w:color w:val="1A2A6C"/>
        </w:rPr>
        <w:t>Terms &amp; Remarks</w:t>
      </w:r>
    </w:p>
    <w:p>
      <w:pPr>
        <w:pStyle w:val="ListBullet"/>
      </w:pPr>
      <w:r>
        <w:rPr>
          <w:sz w:val="19"/>
        </w:rPr>
        <w:t>Rate is per 1 x 40'HC container, from Ningbo, in USD.</w:t>
      </w:r>
    </w:p>
    <w:p>
      <w:pPr>
        <w:pStyle w:val="ListBullet"/>
      </w:pPr>
      <w:r>
        <w:rPr>
          <w:sz w:val="19"/>
        </w:rPr>
        <w:t>Telex Release and Documentation Fee are charged per B/L (per shipment), applying once regardless of container count.</w:t>
      </w:r>
    </w:p>
    <w:p>
      <w:pPr>
        <w:pStyle w:val="ListBullet"/>
      </w:pPr>
      <w:r>
        <w:rPr>
          <w:sz w:val="19"/>
        </w:rPr>
        <w:t>Ocean freight covers carriage from Ningbo to the port of Buenos Aires.</w:t>
      </w:r>
    </w:p>
    <w:p>
      <w:pPr>
        <w:pStyle w:val="ListBullet"/>
      </w:pPr>
      <w:r>
        <w:rPr>
          <w:sz w:val="19"/>
        </w:rPr>
        <w:t>Free time: 18 days at destination.</w:t>
      </w:r>
    </w:p>
    <w:p>
      <w:pPr>
        <w:pStyle w:val="ListBullet"/>
      </w:pPr>
      <w:r>
        <w:rPr>
          <w:sz w:val="19"/>
        </w:rPr>
        <w:t>Transit time: approximately 40 days, subject to carrier schedule and routing.</w:t>
      </w:r>
    </w:p>
    <w:p>
      <w:pPr>
        <w:pStyle w:val="ListBullet"/>
      </w:pPr>
      <w:r>
        <w:rPr>
          <w:sz w:val="19"/>
        </w:rPr>
        <w:t>Import duties, taxes, and any destination charges beyond those listed are not included.</w:t>
      </w:r>
    </w:p>
    <w:p>
      <w:pPr>
        <w:pStyle w:val="ListBullet"/>
      </w:pPr>
      <w:r>
        <w:rPr>
          <w:sz w:val="19"/>
        </w:rPr>
        <w:t>Freight rates are subject to space availability and carrier schedule at time of booking.</w:t>
      </w:r>
    </w:p>
    <w:p/>
    <w:p>
      <w:r>
        <w:rPr>
          <w:color w:val="666666"/>
          <w:sz w:val="18"/>
        </w:rPr>
        <w:t>SHAQ Logistics - Room 3702, Long Park Chong Chin Building, No. 2010 Bao'an South Road, Luohu District, Shenzhen, China</w:t>
      </w:r>
    </w:p>
    <w:p>
      <w:r>
        <w:rPr>
          <w:sz w:val="18"/>
        </w:rPr>
        <w:t>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