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2A6C"/>
          <w:sz w:val="44"/>
        </w:rPr>
        <w:t xml:space="preserve">SHAQ </w:t>
      </w:r>
      <w:r>
        <w:rPr>
          <w:b/>
          <w:color w:val="0F7A8D"/>
          <w:sz w:val="44"/>
        </w:rPr>
        <w:t>LOGISTICS</w:t>
      </w:r>
    </w:p>
    <w:p>
      <w:r>
        <w:rPr>
          <w:color w:val="777777"/>
          <w:sz w:val="16"/>
        </w:rPr>
        <w:t>SMART FREIGHT RATE PLATFORM</w:t>
      </w:r>
    </w:p>
    <w:p/>
    <w:p>
      <w:pPr>
        <w:jc w:val="right"/>
      </w:pPr>
      <w:r>
        <w:rPr>
          <w:b/>
          <w:color w:val="1A2A6C"/>
          <w:sz w:val="32"/>
        </w:rPr>
        <w:t>PONUDA PREVOZA</w:t>
      </w:r>
    </w:p>
    <w:p>
      <w:pPr>
        <w:jc w:val="right"/>
      </w:pPr>
      <w:r>
        <w:rPr>
          <w:sz w:val="20"/>
        </w:rPr>
        <w:t>Br. SHAQ-DAM-KRU-260911</w:t>
      </w:r>
    </w:p>
    <w:p>
      <w:r>
        <w:rPr>
          <w:b/>
          <w:sz w:val="20"/>
        </w:rPr>
        <w:t xml:space="preserve">Datum ponude: </w:t>
      </w:r>
      <w:r>
        <w:rPr>
          <w:sz w:val="20"/>
        </w:rPr>
        <w:t>11. septembar 2026.</w:t>
      </w:r>
    </w:p>
    <w:p>
      <w:r>
        <w:rPr>
          <w:b/>
          <w:sz w:val="20"/>
        </w:rPr>
        <w:t xml:space="preserve">Važi do: </w:t>
      </w:r>
      <w:r>
        <w:rPr>
          <w:sz w:val="20"/>
        </w:rPr>
        <w:t>14. septembar 2026.</w:t>
      </w:r>
    </w:p>
    <w:p>
      <w:r>
        <w:rPr>
          <w:b/>
          <w:sz w:val="20"/>
        </w:rPr>
        <w:t xml:space="preserve">Izdala: </w:t>
      </w:r>
      <w:r>
        <w:rPr>
          <w:sz w:val="20"/>
        </w:rPr>
        <w:t>Aaron - SHAQ Logistics, WhatsApp: +86 158 1850 5125</w:t>
      </w:r>
    </w:p>
    <w:p/>
    <w:p>
      <w:pPr>
        <w:jc w:val="center"/>
      </w:pPr>
      <w:r>
        <w:rPr>
          <w:b/>
          <w:color w:val="1A2A6C"/>
          <w:sz w:val="22"/>
        </w:rPr>
        <w:t>EGDAM Damietta, Egipat  -&gt;  Kruševac, Srbija  -&gt;  FOB, 20GP / 40GP</w:t>
      </w:r>
    </w:p>
    <w:p/>
    <w:p>
      <w:r>
        <w:rPr>
          <w:b/>
          <w:color w:val="1A2A6C"/>
          <w:sz w:val="22"/>
        </w:rPr>
        <w:t>TROŠKOVI PREVOZA PO KONTEJNERU — DAMIETTA DO KRUŠEVAC (USD)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45"/>
        <w:gridCol w:w="2045"/>
        <w:gridCol w:w="2045"/>
        <w:gridCol w:w="2045"/>
        <w:gridCol w:w="2045"/>
      </w:tblGrid>
      <w:tr>
        <w:tc>
          <w:tcPr>
            <w:tcW w:type="dxa" w:w="2045"/>
          </w:tcPr>
          <w:p>
            <w:r>
              <w:rPr>
                <w:b/>
                <w:sz w:val="18"/>
              </w:rPr>
              <w:t>#</w:t>
            </w:r>
          </w:p>
        </w:tc>
        <w:tc>
          <w:tcPr>
            <w:tcW w:type="dxa" w:w="2045"/>
          </w:tcPr>
          <w:p>
            <w:r>
              <w:rPr>
                <w:b/>
                <w:sz w:val="18"/>
              </w:rPr>
              <w:t>Tip kontejnera</w:t>
            </w:r>
          </w:p>
        </w:tc>
        <w:tc>
          <w:tcPr>
            <w:tcW w:type="dxa" w:w="2045"/>
          </w:tcPr>
          <w:p>
            <w:r>
              <w:rPr>
                <w:b/>
                <w:sz w:val="18"/>
              </w:rPr>
              <w:t>Pomorski prevoz (OF)</w:t>
            </w:r>
          </w:p>
        </w:tc>
        <w:tc>
          <w:tcPr>
            <w:tcW w:type="dxa" w:w="2045"/>
          </w:tcPr>
          <w:p>
            <w:r>
              <w:rPr>
                <w:b/>
                <w:sz w:val="18"/>
              </w:rPr>
              <w:t>Drumski prevoz</w:t>
            </w:r>
          </w:p>
        </w:tc>
        <w:tc>
          <w:tcPr>
            <w:tcW w:type="dxa" w:w="2045"/>
          </w:tcPr>
          <w:p>
            <w:r>
              <w:rPr>
                <w:b/>
                <w:sz w:val="18"/>
              </w:rPr>
              <w:t>Ukupno po kontejneru</w:t>
            </w:r>
          </w:p>
        </w:tc>
      </w:tr>
      <w:tr>
        <w:tc>
          <w:tcPr>
            <w:tcW w:type="dxa" w:w="2045"/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2045"/>
          </w:tcPr>
          <w:p>
            <w:r>
              <w:rPr>
                <w:sz w:val="18"/>
              </w:rPr>
              <w:t>20GP</w:t>
            </w:r>
          </w:p>
        </w:tc>
        <w:tc>
          <w:tcPr>
            <w:tcW w:type="dxa" w:w="2045"/>
          </w:tcPr>
          <w:p>
            <w:r>
              <w:rPr>
                <w:sz w:val="18"/>
              </w:rPr>
              <w:t>1.700,00</w:t>
            </w:r>
          </w:p>
        </w:tc>
        <w:tc>
          <w:tcPr>
            <w:tcW w:type="dxa" w:w="2045"/>
          </w:tcPr>
          <w:p>
            <w:r>
              <w:rPr>
                <w:sz w:val="18"/>
              </w:rPr>
              <w:t>2.500,00</w:t>
            </w:r>
          </w:p>
        </w:tc>
        <w:tc>
          <w:tcPr>
            <w:tcW w:type="dxa" w:w="2045"/>
          </w:tcPr>
          <w:p>
            <w:r>
              <w:rPr>
                <w:b/>
                <w:sz w:val="18"/>
              </w:rPr>
              <w:t>4.200,00</w:t>
            </w:r>
          </w:p>
        </w:tc>
      </w:tr>
      <w:tr>
        <w:tc>
          <w:tcPr>
            <w:tcW w:type="dxa" w:w="2045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045"/>
          </w:tcPr>
          <w:p>
            <w:r>
              <w:rPr>
                <w:sz w:val="18"/>
              </w:rPr>
              <w:t>40GP</w:t>
            </w:r>
          </w:p>
        </w:tc>
        <w:tc>
          <w:tcPr>
            <w:tcW w:type="dxa" w:w="2045"/>
          </w:tcPr>
          <w:p>
            <w:r>
              <w:rPr>
                <w:sz w:val="18"/>
              </w:rPr>
              <w:t>1.900,00</w:t>
            </w:r>
          </w:p>
        </w:tc>
        <w:tc>
          <w:tcPr>
            <w:tcW w:type="dxa" w:w="2045"/>
          </w:tcPr>
          <w:p>
            <w:r>
              <w:rPr>
                <w:sz w:val="18"/>
              </w:rPr>
              <w:t>2.650,00</w:t>
            </w:r>
          </w:p>
        </w:tc>
        <w:tc>
          <w:tcPr>
            <w:tcW w:type="dxa" w:w="2045"/>
          </w:tcPr>
          <w:p>
            <w:r>
              <w:rPr>
                <w:b/>
                <w:sz w:val="18"/>
              </w:rPr>
              <w:t>4.550,00</w:t>
            </w:r>
          </w:p>
        </w:tc>
      </w:tr>
    </w:tbl>
    <w:p/>
    <w:p>
      <w:r>
        <w:rPr>
          <w:b/>
          <w:color w:val="1A2A6C"/>
          <w:sz w:val="22"/>
        </w:rPr>
        <w:t>FIKSNI TROŠKOVI PO B/L (PO POŠILJCI)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</w:tcPr>
          <w:p>
            <w:r>
              <w:rPr>
                <w:b/>
                <w:sz w:val="18"/>
              </w:rPr>
              <w:t>#</w:t>
            </w:r>
          </w:p>
        </w:tc>
        <w:tc>
          <w:tcPr>
            <w:tcW w:type="dxa" w:w="2556"/>
          </w:tcPr>
          <w:p>
            <w:r>
              <w:rPr>
                <w:b/>
                <w:sz w:val="18"/>
              </w:rPr>
              <w:t>Stavka</w:t>
            </w:r>
          </w:p>
        </w:tc>
        <w:tc>
          <w:tcPr>
            <w:tcW w:type="dxa" w:w="2556"/>
          </w:tcPr>
          <w:p>
            <w:r>
              <w:rPr>
                <w:b/>
                <w:sz w:val="18"/>
              </w:rPr>
              <w:t>Osnovica</w:t>
            </w:r>
          </w:p>
        </w:tc>
        <w:tc>
          <w:tcPr>
            <w:tcW w:type="dxa" w:w="2556"/>
          </w:tcPr>
          <w:p>
            <w:r>
              <w:rPr>
                <w:b/>
                <w:sz w:val="18"/>
              </w:rPr>
              <w:t>Iznos (USD)</w:t>
            </w:r>
          </w:p>
        </w:tc>
      </w:tr>
      <w:tr>
        <w:tc>
          <w:tcPr>
            <w:tcW w:type="dxa" w:w="2556"/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2556"/>
          </w:tcPr>
          <w:p>
            <w:r>
              <w:rPr>
                <w:sz w:val="18"/>
              </w:rPr>
              <w:t>Telex release — otpuštanje konosmana</w:t>
            </w:r>
          </w:p>
        </w:tc>
        <w:tc>
          <w:tcPr>
            <w:tcW w:type="dxa" w:w="2556"/>
          </w:tcPr>
          <w:p>
            <w:r>
              <w:rPr>
                <w:sz w:val="18"/>
              </w:rPr>
              <w:t>po B/L</w:t>
            </w:r>
          </w:p>
        </w:tc>
        <w:tc>
          <w:tcPr>
            <w:tcW w:type="dxa" w:w="2556"/>
          </w:tcPr>
          <w:p>
            <w:r>
              <w:rPr>
                <w:b/>
                <w:sz w:val="18"/>
              </w:rPr>
              <w:t>80,00</w:t>
            </w:r>
          </w:p>
        </w:tc>
      </w:tr>
      <w:tr>
        <w:tc>
          <w:tcPr>
            <w:tcW w:type="dxa" w:w="2556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556"/>
          </w:tcPr>
          <w:p>
            <w:r>
              <w:rPr>
                <w:sz w:val="18"/>
              </w:rPr>
              <w:t>Dokumentacija (Doc fee)</w:t>
            </w:r>
          </w:p>
        </w:tc>
        <w:tc>
          <w:tcPr>
            <w:tcW w:type="dxa" w:w="2556"/>
          </w:tcPr>
          <w:p>
            <w:r>
              <w:rPr>
                <w:sz w:val="18"/>
              </w:rPr>
              <w:t>po B/L</w:t>
            </w:r>
          </w:p>
        </w:tc>
        <w:tc>
          <w:tcPr>
            <w:tcW w:type="dxa" w:w="2556"/>
          </w:tcPr>
          <w:p>
            <w:r>
              <w:rPr>
                <w:b/>
                <w:sz w:val="18"/>
              </w:rPr>
              <w:t>240,00</w:t>
            </w:r>
          </w:p>
        </w:tc>
      </w:tr>
      <w:tr>
        <w:tc>
          <w:tcPr>
            <w:tcW w:type="dxa" w:w="7668"/>
            <w:gridSpan w:val="3"/>
          </w:tcPr>
          <w:p>
            <w:r>
              <w:rPr>
                <w:b/>
                <w:color w:val="C0392B"/>
                <w:sz w:val="20"/>
              </w:rPr>
              <w:t>UKUPNO PO B/L</w:t>
            </w:r>
          </w:p>
        </w:tc>
        <w:tc>
          <w:tcPr>
            <w:tcW w:type="dxa" w:w="2556"/>
          </w:tcPr>
          <w:p>
            <w:r>
              <w:rPr>
                <w:b/>
                <w:color w:val="C0392B"/>
                <w:sz w:val="20"/>
              </w:rPr>
              <w:t>320,00</w:t>
            </w:r>
          </w:p>
        </w:tc>
      </w:tr>
    </w:tbl>
    <w:p>
      <w:r>
        <w:rPr>
          <w:color w:val="888888"/>
          <w:sz w:val="16"/>
        </w:rPr>
        <w:t>Cene su izražene u američkim dolarima (USD), po kontejneru, na uslovu isporuke FOB. Naknade označene kao „po B/L“ naplaćuju se jednom po pošiljci, a ne po kontejneru. Primer: 1 x 20GP (4.200,00) + troškovi po B/L (320,00) = 4.520,00 USD; 1 x 40GP (4.550,00) + troškovi po B/L (320,00) = 4.870,00 USD.</w:t>
      </w:r>
    </w:p>
    <w:p/>
    <w:p>
      <w:pPr>
        <w:jc w:val="center"/>
      </w:pPr>
      <w:r>
        <w:rPr>
          <w:b/>
          <w:color w:val="7A5C00"/>
          <w:sz w:val="20"/>
        </w:rPr>
        <w:t>Sve cene važe do 14. septembra 2026. — potvrdite odmah da biste zadržali ovu cenu.</w:t>
      </w:r>
    </w:p>
    <w:p/>
    <w:p>
      <w:r>
        <w:rPr>
          <w:b/>
          <w:color w:val="1A2A6C"/>
          <w:sz w:val="22"/>
        </w:rPr>
        <w:t>DETALJI POŠILJKE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</w:tcPr>
          <w:p>
            <w:r>
              <w:rPr>
                <w:b/>
                <w:color w:val="888888"/>
                <w:sz w:val="18"/>
              </w:rPr>
              <w:t>Vrsta usluge</w:t>
            </w:r>
          </w:p>
        </w:tc>
        <w:tc>
          <w:tcPr>
            <w:tcW w:type="dxa" w:w="5112"/>
          </w:tcPr>
          <w:p>
            <w:r>
              <w:rPr>
                <w:sz w:val="18"/>
              </w:rPr>
              <w:t>Pomorski + drumski prevoz (multimodalni), FCL</w:t>
            </w:r>
          </w:p>
        </w:tc>
      </w:tr>
      <w:tr>
        <w:tc>
          <w:tcPr>
            <w:tcW w:type="dxa" w:w="5112"/>
          </w:tcPr>
          <w:p>
            <w:r>
              <w:rPr>
                <w:b/>
                <w:color w:val="888888"/>
                <w:sz w:val="18"/>
              </w:rPr>
              <w:t>Prevoznik</w:t>
            </w:r>
          </w:p>
        </w:tc>
        <w:tc>
          <w:tcPr>
            <w:tcW w:type="dxa" w:w="5112"/>
          </w:tcPr>
          <w:p>
            <w:r>
              <w:rPr>
                <w:sz w:val="18"/>
              </w:rPr>
              <w:t>Biće potvrđen pri rezervaciji</w:t>
            </w:r>
          </w:p>
        </w:tc>
      </w:tr>
      <w:tr>
        <w:tc>
          <w:tcPr>
            <w:tcW w:type="dxa" w:w="5112"/>
          </w:tcPr>
          <w:p>
            <w:r>
              <w:rPr>
                <w:b/>
                <w:color w:val="888888"/>
                <w:sz w:val="18"/>
              </w:rPr>
              <w:t>Luka ukrcaja (POL)</w:t>
            </w:r>
          </w:p>
        </w:tc>
        <w:tc>
          <w:tcPr>
            <w:tcW w:type="dxa" w:w="5112"/>
          </w:tcPr>
          <w:p>
            <w:r>
              <w:rPr>
                <w:sz w:val="18"/>
              </w:rPr>
              <w:t>Damietta, Egipat (EGDAM)</w:t>
            </w:r>
          </w:p>
        </w:tc>
      </w:tr>
      <w:tr>
        <w:tc>
          <w:tcPr>
            <w:tcW w:type="dxa" w:w="5112"/>
          </w:tcPr>
          <w:p>
            <w:r>
              <w:rPr>
                <w:b/>
                <w:color w:val="888888"/>
                <w:sz w:val="18"/>
              </w:rPr>
              <w:t>Odredište</w:t>
            </w:r>
          </w:p>
        </w:tc>
        <w:tc>
          <w:tcPr>
            <w:tcW w:type="dxa" w:w="5112"/>
          </w:tcPr>
          <w:p>
            <w:r>
              <w:rPr>
                <w:sz w:val="18"/>
              </w:rPr>
              <w:t>Kruševac, Srbija — unutrašnjost, drumska dostava</w:t>
            </w:r>
          </w:p>
        </w:tc>
      </w:tr>
      <w:tr>
        <w:tc>
          <w:tcPr>
            <w:tcW w:type="dxa" w:w="5112"/>
          </w:tcPr>
          <w:p>
            <w:r>
              <w:rPr>
                <w:b/>
                <w:color w:val="888888"/>
                <w:sz w:val="18"/>
              </w:rPr>
              <w:t>Tip kontejnera</w:t>
            </w:r>
          </w:p>
        </w:tc>
        <w:tc>
          <w:tcPr>
            <w:tcW w:type="dxa" w:w="5112"/>
          </w:tcPr>
          <w:p>
            <w:r>
              <w:rPr>
                <w:sz w:val="18"/>
              </w:rPr>
              <w:t>20GP / 40GP</w:t>
            </w:r>
          </w:p>
        </w:tc>
      </w:tr>
      <w:tr>
        <w:tc>
          <w:tcPr>
            <w:tcW w:type="dxa" w:w="5112"/>
          </w:tcPr>
          <w:p>
            <w:r>
              <w:rPr>
                <w:b/>
                <w:color w:val="888888"/>
                <w:sz w:val="18"/>
              </w:rPr>
              <w:t>Vreme tranzita</w:t>
            </w:r>
          </w:p>
        </w:tc>
        <w:tc>
          <w:tcPr>
            <w:tcW w:type="dxa" w:w="5112"/>
          </w:tcPr>
          <w:p>
            <w:r>
              <w:rPr>
                <w:sz w:val="18"/>
              </w:rPr>
              <w:t>21 dan</w:t>
            </w:r>
          </w:p>
        </w:tc>
      </w:tr>
      <w:tr>
        <w:tc>
          <w:tcPr>
            <w:tcW w:type="dxa" w:w="5112"/>
          </w:tcPr>
          <w:p>
            <w:r>
              <w:rPr>
                <w:b/>
                <w:color w:val="888888"/>
                <w:sz w:val="18"/>
              </w:rPr>
              <w:t>Uslov isporuke</w:t>
            </w:r>
          </w:p>
        </w:tc>
        <w:tc>
          <w:tcPr>
            <w:tcW w:type="dxa" w:w="5112"/>
          </w:tcPr>
          <w:p>
            <w:r>
              <w:rPr>
                <w:sz w:val="18"/>
              </w:rPr>
              <w:t>FOB</w:t>
            </w:r>
          </w:p>
        </w:tc>
      </w:tr>
      <w:tr>
        <w:tc>
          <w:tcPr>
            <w:tcW w:type="dxa" w:w="5112"/>
          </w:tcPr>
          <w:p>
            <w:r>
              <w:rPr>
                <w:b/>
                <w:color w:val="888888"/>
                <w:sz w:val="18"/>
              </w:rPr>
              <w:t>Telex release</w:t>
            </w:r>
          </w:p>
        </w:tc>
        <w:tc>
          <w:tcPr>
            <w:tcW w:type="dxa" w:w="5112"/>
          </w:tcPr>
          <w:p>
            <w:r>
              <w:rPr>
                <w:sz w:val="18"/>
              </w:rPr>
              <w:t>USD 80 / B/L</w:t>
            </w:r>
          </w:p>
        </w:tc>
      </w:tr>
      <w:tr>
        <w:tc>
          <w:tcPr>
            <w:tcW w:type="dxa" w:w="5112"/>
          </w:tcPr>
          <w:p>
            <w:r>
              <w:rPr>
                <w:b/>
                <w:color w:val="888888"/>
                <w:sz w:val="18"/>
              </w:rPr>
              <w:t>Dokumentacija</w:t>
            </w:r>
          </w:p>
        </w:tc>
        <w:tc>
          <w:tcPr>
            <w:tcW w:type="dxa" w:w="5112"/>
          </w:tcPr>
          <w:p>
            <w:r>
              <w:rPr>
                <w:sz w:val="18"/>
              </w:rPr>
              <w:t>USD 240 / B/L</w:t>
            </w:r>
          </w:p>
        </w:tc>
      </w:tr>
      <w:tr>
        <w:tc>
          <w:tcPr>
            <w:tcW w:type="dxa" w:w="5112"/>
          </w:tcPr>
          <w:p>
            <w:r>
              <w:rPr>
                <w:b/>
                <w:color w:val="888888"/>
                <w:sz w:val="18"/>
              </w:rPr>
              <w:t>Valuta</w:t>
            </w:r>
          </w:p>
        </w:tc>
        <w:tc>
          <w:tcPr>
            <w:tcW w:type="dxa" w:w="5112"/>
          </w:tcPr>
          <w:p>
            <w:r>
              <w:rPr>
                <w:sz w:val="18"/>
              </w:rPr>
              <w:t>USD</w:t>
            </w:r>
          </w:p>
        </w:tc>
      </w:tr>
      <w:tr>
        <w:tc>
          <w:tcPr>
            <w:tcW w:type="dxa" w:w="5112"/>
          </w:tcPr>
          <w:p>
            <w:r>
              <w:rPr>
                <w:b/>
                <w:color w:val="888888"/>
                <w:sz w:val="18"/>
              </w:rPr>
              <w:t>Važnost ponude</w:t>
            </w:r>
          </w:p>
        </w:tc>
        <w:tc>
          <w:tcPr>
            <w:tcW w:type="dxa" w:w="5112"/>
          </w:tcPr>
          <w:p>
            <w:r>
              <w:rPr>
                <w:sz w:val="18"/>
              </w:rPr>
              <w:t>14. septembar 2026.</w:t>
            </w:r>
          </w:p>
        </w:tc>
      </w:tr>
    </w:tbl>
    <w:p/>
    <w:p>
      <w:r>
        <w:rPr>
          <w:b/>
          <w:color w:val="1A2A6C"/>
          <w:sz w:val="22"/>
        </w:rPr>
        <w:t>USLOVI I NAPOMENE</w:t>
      </w:r>
    </w:p>
    <w:p>
      <w:pPr>
        <w:pStyle w:val="ListBullet"/>
      </w:pPr>
      <w:r>
        <w:rPr>
          <w:sz w:val="18"/>
        </w:rPr>
        <w:t>Cene važe do 14. septembra 2026. godine i odnose se na prostor i red vožnje raspoložive u trenutku rezervacije.</w:t>
      </w:r>
    </w:p>
    <w:p>
      <w:pPr>
        <w:pStyle w:val="ListBullet"/>
      </w:pPr>
      <w:r>
        <w:rPr>
          <w:sz w:val="18"/>
        </w:rPr>
        <w:t>Pomorski prevoz obračunava se po kontejneru od luke Damietta; drumski prevoz obuhvata dostavu od luke iskrcaja do Kruševca.</w:t>
      </w:r>
    </w:p>
    <w:p>
      <w:pPr>
        <w:pStyle w:val="ListBullet"/>
      </w:pPr>
      <w:r>
        <w:rPr>
          <w:sz w:val="18"/>
        </w:rPr>
        <w:t>Naknada za telex release iznosi USD 80 po B/L, a naknada za dokumentaciju USD 240 po B/L — naplaćuju se jednom po pošiljci.</w:t>
      </w:r>
    </w:p>
    <w:p>
      <w:pPr>
        <w:pStyle w:val="ListBullet"/>
      </w:pPr>
      <w:r>
        <w:rPr>
          <w:sz w:val="18"/>
        </w:rPr>
        <w:t>Uslov isporuke: FOB. Carine, porezi i troškovi na odredištu nisu uključeni u navedene cene.</w:t>
      </w:r>
    </w:p>
    <w:p>
      <w:pPr>
        <w:pStyle w:val="ListBullet"/>
      </w:pPr>
      <w:r>
        <w:rPr>
          <w:sz w:val="18"/>
        </w:rPr>
        <w:t>Vreme tranzita od 21 dan je procenjeno i može se razlikovati u zavisnosti od reda vožnje prevoznika i izabrane rute.</w:t>
      </w:r>
    </w:p>
    <w:p>
      <w:pPr>
        <w:pStyle w:val="ListBullet"/>
      </w:pPr>
      <w:r>
        <w:rPr>
          <w:sz w:val="18"/>
        </w:rPr>
        <w:t>Konačan iznos potvrđuje se pri rezervaciji, prema stvarnom broju kontejnera i konačnoj ruti.</w:t>
      </w:r>
    </w:p>
    <w:p/>
    <w:p>
      <w:pPr>
        <w:jc w:val="center"/>
      </w:pPr>
      <w:r>
        <w:rPr>
          <w:b/>
          <w:color w:val="C0392B"/>
          <w:sz w:val="22"/>
        </w:rPr>
        <w:t>Zaključajte ovu cenu — WhatsApp Aaron: +86 158 1850 5125</w:t>
      </w:r>
    </w:p>
    <w:p/>
    <w:p>
      <w:pPr>
        <w:jc w:val="center"/>
      </w:pPr>
      <w:r>
        <w:rPr>
          <w:color w:val="888888"/>
          <w:sz w:val="16"/>
        </w:rPr>
        <w:t>SHAQ Logistics - Room 3702, Long Park Chong Chin Building, No. 2010 Bao'an South Road, Luohu District, Shenzhen, China | search.shaq-logistics.com</w:t>
      </w:r>
    </w:p>
    <w:sectPr w:rsidR="00FC693F" w:rsidRPr="0006063C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