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rPr>
          <w:b/>
          <w:color w:val="1A2A6C"/>
          <w:sz w:val="40"/>
        </w:rPr>
        <w:t>SHAQ LOGISTICS</w:t>
      </w:r>
      <w:r>
        <w:t xml:space="preserve">   </w:t>
      </w:r>
      <w:r>
        <w:rPr>
          <w:b/>
          <w:color w:val="1A2A6C"/>
          <w:sz w:val="32"/>
        </w:rPr>
        <w:t>FREIGHT QUOTE</w:t>
      </w:r>
    </w:p>
    <w:p>
      <w:pPr>
        <w:spacing w:after="80"/>
      </w:pPr>
      <w:r>
        <w:rPr>
          <w:b w:val="0"/>
          <w:color w:val="777777"/>
          <w:sz w:val="18"/>
        </w:rPr>
        <w:t>Smart Freight Rate Platform  |  Quote No. SHAQ-CKG-SOH-260914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/>
            <w:r>
              <w:rPr>
                <w:b/>
                <w:color w:val="999999"/>
                <w:sz w:val="18"/>
              </w:rPr>
              <w:t>Quote Date</w:t>
            </w:r>
          </w:p>
          <w:p>
            <w:r>
              <w:rPr>
                <w:b/>
                <w:sz w:val="20"/>
              </w:rPr>
              <w:t>September 14, 2026</w:t>
            </w:r>
          </w:p>
        </w:tc>
        <w:tc>
          <w:tcPr>
            <w:tcW w:type="dxa" w:w="2880"/>
          </w:tcPr>
          <w:p>
            <w:r/>
            <w:r>
              <w:rPr>
                <w:b/>
                <w:color w:val="999999"/>
                <w:sz w:val="18"/>
              </w:rPr>
              <w:t>Valid Until</w:t>
            </w:r>
          </w:p>
          <w:p>
            <w:r>
              <w:rPr>
                <w:b/>
                <w:sz w:val="20"/>
              </w:rPr>
              <w:t>September 20, 2026</w:t>
            </w:r>
          </w:p>
        </w:tc>
        <w:tc>
          <w:tcPr>
            <w:tcW w:type="dxa" w:w="2880"/>
          </w:tcPr>
          <w:p>
            <w:r/>
            <w:r>
              <w:rPr>
                <w:b/>
                <w:color w:val="999999"/>
                <w:sz w:val="18"/>
              </w:rPr>
              <w:t>Issued By</w:t>
            </w:r>
          </w:p>
          <w:p>
            <w:r>
              <w:rPr>
                <w:b/>
                <w:sz w:val="20"/>
              </w:rPr>
              <w:t>Aaron — SHAQ Logistics</w:t>
              <w:br/>
              <w:t>WhatsApp: +86 158 1850 5125</w:t>
            </w:r>
          </w:p>
        </w:tc>
      </w:tr>
    </w:tbl>
    <w:p/>
    <w:p>
      <w:pPr>
        <w:spacing w:after="80"/>
      </w:pPr>
      <w:r>
        <w:rPr>
          <w:b/>
          <w:color w:val="1A2A6C"/>
          <w:sz w:val="20"/>
        </w:rPr>
        <w:t>Route: Chongqing, China (CNCKG)  →  Sohar, Oman (OMSOH)  —  MSC  —  39 x 40' SOC</w:t>
      </w:r>
    </w:p>
    <w:p>
      <w:pPr>
        <w:spacing w:after="80"/>
      </w:pPr>
      <w:r>
        <w:rPr>
          <w:b/>
          <w:color w:val="7A5C00"/>
          <w:sz w:val="20"/>
        </w:rPr>
        <w:t>All rates valid until September 20, 2026 — lock now to secure.</w:t>
      </w:r>
    </w:p>
    <w:p>
      <w:pPr>
        <w:spacing w:after="40"/>
      </w:pPr>
      <w:r>
        <w:rPr>
          <w:b/>
          <w:color w:val="1A2A6C"/>
          <w:sz w:val="22"/>
        </w:rPr>
        <w:t>Ocean Freight Rates — Chongqing to Sohar (USD)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34"/>
        <w:gridCol w:w="1234"/>
        <w:gridCol w:w="1234"/>
        <w:gridCol w:w="1234"/>
        <w:gridCol w:w="1234"/>
        <w:gridCol w:w="1234"/>
        <w:gridCol w:w="1234"/>
      </w:tblGrid>
      <w:tr>
        <w:tc>
          <w:tcPr>
            <w:tcW w:type="dxa" w:w="1234"/>
            <w:shd w:fill="1A2A6C"/>
          </w:tcPr>
          <w:p>
            <w:r/>
            <w:r>
              <w:rPr>
                <w:b/>
                <w:color w:val="FFFFFF"/>
                <w:sz w:val="18"/>
              </w:rPr>
              <w:t>#</w:t>
            </w:r>
          </w:p>
        </w:tc>
        <w:tc>
          <w:tcPr>
            <w:tcW w:type="dxa" w:w="1234"/>
            <w:shd w:fill="1A2A6C"/>
          </w:tcPr>
          <w:p>
            <w:r/>
            <w:r>
              <w:rPr>
                <w:b/>
                <w:color w:val="FFFFFF"/>
                <w:sz w:val="18"/>
              </w:rPr>
              <w:t>Charge</w:t>
            </w:r>
          </w:p>
        </w:tc>
        <w:tc>
          <w:tcPr>
            <w:tcW w:type="dxa" w:w="1234"/>
            <w:shd w:fill="1A2A6C"/>
          </w:tcPr>
          <w:p>
            <w:r/>
            <w:r>
              <w:rPr>
                <w:b/>
                <w:color w:val="FFFFFF"/>
                <w:sz w:val="18"/>
              </w:rPr>
              <w:t>Port Code</w:t>
            </w:r>
          </w:p>
        </w:tc>
        <w:tc>
          <w:tcPr>
            <w:tcW w:type="dxa" w:w="1234"/>
            <w:shd w:fill="1A2A6C"/>
          </w:tcPr>
          <w:p>
            <w:r/>
            <w:r>
              <w:rPr>
                <w:b/>
                <w:color w:val="FFFFFF"/>
                <w:sz w:val="18"/>
              </w:rPr>
              <w:t>Basis</w:t>
            </w:r>
          </w:p>
        </w:tc>
        <w:tc>
          <w:tcPr>
            <w:tcW w:type="dxa" w:w="1234"/>
            <w:shd w:fill="1A2A6C"/>
          </w:tcPr>
          <w:p>
            <w:r/>
            <w:r>
              <w:rPr>
                <w:b/>
                <w:color w:val="FFFFFF"/>
                <w:sz w:val="18"/>
              </w:rPr>
              <w:t>Qty</w:t>
            </w:r>
          </w:p>
        </w:tc>
        <w:tc>
          <w:tcPr>
            <w:tcW w:type="dxa" w:w="1234"/>
            <w:shd w:fill="1A2A6C"/>
          </w:tcPr>
          <w:p>
            <w:r/>
            <w:r>
              <w:rPr>
                <w:b/>
                <w:color w:val="FFFFFF"/>
                <w:sz w:val="18"/>
              </w:rPr>
              <w:t>Unit Price</w:t>
            </w:r>
          </w:p>
        </w:tc>
        <w:tc>
          <w:tcPr>
            <w:tcW w:type="dxa" w:w="1234"/>
            <w:shd w:fill="1A2A6C"/>
          </w:tcPr>
          <w:p>
            <w:r/>
            <w:r>
              <w:rPr>
                <w:b/>
                <w:color w:val="FFFFFF"/>
                <w:sz w:val="18"/>
              </w:rPr>
              <w:t>Amount</w:t>
            </w:r>
          </w:p>
        </w:tc>
      </w:tr>
      <w:tr>
        <w:tc>
          <w:tcPr>
            <w:tcW w:type="dxa" w:w="1234"/>
          </w:tcPr>
          <w:p>
            <w:r/>
            <w:r>
              <w:rPr>
                <w:b/>
                <w:sz w:val="18"/>
              </w:rPr>
              <w:t>1</w:t>
            </w:r>
          </w:p>
        </w:tc>
        <w:tc>
          <w:tcPr>
            <w:tcW w:type="dxa" w:w="1234"/>
          </w:tcPr>
          <w:p>
            <w:r/>
            <w:r>
              <w:rPr>
                <w:sz w:val="18"/>
              </w:rPr>
              <w:t>Ocean Freight, Chongqing → Sohar</w:t>
              <w:br/>
              <w:t>MSC — transit time approx. 32 days, free time 14 days</w:t>
            </w:r>
          </w:p>
        </w:tc>
        <w:tc>
          <w:tcPr>
            <w:tcW w:type="dxa" w:w="1234"/>
          </w:tcPr>
          <w:p>
            <w:r/>
            <w:r>
              <w:rPr>
                <w:sz w:val="18"/>
              </w:rPr>
              <w:t>OMSOH</w:t>
            </w:r>
          </w:p>
        </w:tc>
        <w:tc>
          <w:tcPr>
            <w:tcW w:type="dxa" w:w="1234"/>
          </w:tcPr>
          <w:p>
            <w:r/>
            <w:r>
              <w:rPr>
                <w:sz w:val="18"/>
              </w:rPr>
              <w:t>Per 40' SOC</w:t>
            </w:r>
          </w:p>
        </w:tc>
        <w:tc>
          <w:tcPr>
            <w:tcW w:type="dxa" w:w="1234"/>
          </w:tcPr>
          <w:p>
            <w:r/>
            <w:r>
              <w:rPr>
                <w:sz w:val="18"/>
              </w:rPr>
              <w:t>39</w:t>
            </w:r>
          </w:p>
        </w:tc>
        <w:tc>
          <w:tcPr>
            <w:tcW w:type="dxa" w:w="1234"/>
          </w:tcPr>
          <w:p>
            <w:pPr>
              <w:jc w:val="right"/>
            </w:pPr>
            <w:r/>
            <w:r>
              <w:rPr>
                <w:b/>
                <w:sz w:val="18"/>
              </w:rPr>
              <w:t>9,000.00</w:t>
            </w:r>
          </w:p>
        </w:tc>
        <w:tc>
          <w:tcPr>
            <w:tcW w:type="dxa" w:w="1234"/>
          </w:tcPr>
          <w:p>
            <w:pPr>
              <w:jc w:val="right"/>
            </w:pPr>
            <w:r/>
            <w:r>
              <w:rPr>
                <w:b/>
                <w:sz w:val="18"/>
              </w:rPr>
              <w:t>351,000.00</w:t>
            </w:r>
          </w:p>
        </w:tc>
      </w:tr>
      <w:tr>
        <w:tc>
          <w:tcPr>
            <w:tcW w:type="dxa" w:w="1234"/>
          </w:tcPr>
          <w:p>
            <w:r/>
            <w:r>
              <w:rPr>
                <w:b/>
                <w:sz w:val="18"/>
              </w:rPr>
              <w:t>2</w:t>
            </w:r>
          </w:p>
        </w:tc>
        <w:tc>
          <w:tcPr>
            <w:tcW w:type="dxa" w:w="1234"/>
          </w:tcPr>
          <w:p>
            <w:r/>
            <w:r>
              <w:rPr>
                <w:sz w:val="18"/>
              </w:rPr>
              <w:t>Telex Release</w:t>
              <w:br/>
              <w:t>Charged once per Bill of Lading, not per container</w:t>
            </w:r>
          </w:p>
        </w:tc>
        <w:tc>
          <w:tcPr>
            <w:tcW w:type="dxa" w:w="1234"/>
          </w:tcPr>
          <w:p>
            <w:r/>
            <w:r>
              <w:rPr>
                <w:sz w:val="18"/>
              </w:rPr>
              <w:t>—</w:t>
            </w:r>
          </w:p>
        </w:tc>
        <w:tc>
          <w:tcPr>
            <w:tcW w:type="dxa" w:w="1234"/>
          </w:tcPr>
          <w:p>
            <w:r/>
            <w:r>
              <w:rPr>
                <w:sz w:val="18"/>
              </w:rPr>
              <w:t>Per B/L</w:t>
            </w:r>
          </w:p>
        </w:tc>
        <w:tc>
          <w:tcPr>
            <w:tcW w:type="dxa" w:w="1234"/>
          </w:tcPr>
          <w:p>
            <w:r/>
            <w:r>
              <w:rPr>
                <w:sz w:val="18"/>
              </w:rPr>
              <w:t>1</w:t>
            </w:r>
          </w:p>
        </w:tc>
        <w:tc>
          <w:tcPr>
            <w:tcW w:type="dxa" w:w="1234"/>
          </w:tcPr>
          <w:p>
            <w:pPr>
              <w:jc w:val="right"/>
            </w:pPr>
            <w:r/>
            <w:r>
              <w:rPr>
                <w:b/>
                <w:sz w:val="18"/>
              </w:rPr>
              <w:t>80.00</w:t>
            </w:r>
          </w:p>
        </w:tc>
        <w:tc>
          <w:tcPr>
            <w:tcW w:type="dxa" w:w="1234"/>
          </w:tcPr>
          <w:p>
            <w:pPr>
              <w:jc w:val="right"/>
            </w:pPr>
            <w:r/>
            <w:r>
              <w:rPr>
                <w:b/>
                <w:sz w:val="18"/>
              </w:rPr>
              <w:t>80.00</w:t>
            </w:r>
          </w:p>
        </w:tc>
      </w:tr>
      <w:tr>
        <w:tc>
          <w:tcPr>
            <w:tcW w:type="dxa" w:w="1234"/>
            <w:shd w:fill="FFF3F3"/>
          </w:tcPr>
          <w:p>
            <w:r/>
            <w:r>
              <w:rPr>
                <w:b/>
                <w:color w:val="C0392B"/>
                <w:sz w:val="20"/>
              </w:rPr>
            </w:r>
          </w:p>
        </w:tc>
        <w:tc>
          <w:tcPr>
            <w:tcW w:type="dxa" w:w="1234"/>
            <w:shd w:fill="FFF3F3"/>
          </w:tcPr>
          <w:p>
            <w:r/>
            <w:r>
              <w:rPr>
                <w:b/>
                <w:color w:val="C0392B"/>
                <w:sz w:val="20"/>
              </w:rPr>
              <w:t>TOTAL PAYABLE (USD)</w:t>
            </w:r>
          </w:p>
        </w:tc>
        <w:tc>
          <w:tcPr>
            <w:tcW w:type="dxa" w:w="1234"/>
            <w:shd w:fill="FFF3F3"/>
          </w:tcPr>
          <w:p>
            <w:r/>
            <w:r>
              <w:rPr>
                <w:b/>
                <w:color w:val="C0392B"/>
                <w:sz w:val="20"/>
              </w:rPr>
            </w:r>
          </w:p>
        </w:tc>
        <w:tc>
          <w:tcPr>
            <w:tcW w:type="dxa" w:w="1234"/>
            <w:shd w:fill="FFF3F3"/>
          </w:tcPr>
          <w:p>
            <w:r/>
            <w:r>
              <w:rPr>
                <w:b/>
                <w:color w:val="C0392B"/>
                <w:sz w:val="20"/>
              </w:rPr>
            </w:r>
          </w:p>
        </w:tc>
        <w:tc>
          <w:tcPr>
            <w:tcW w:type="dxa" w:w="1234"/>
            <w:shd w:fill="FFF3F3"/>
          </w:tcPr>
          <w:p>
            <w:r/>
            <w:r>
              <w:rPr>
                <w:b/>
                <w:color w:val="C0392B"/>
                <w:sz w:val="20"/>
              </w:rPr>
            </w:r>
          </w:p>
        </w:tc>
        <w:tc>
          <w:tcPr>
            <w:tcW w:type="dxa" w:w="1234"/>
            <w:shd w:fill="FFF3F3"/>
          </w:tcPr>
          <w:p>
            <w:r/>
            <w:r>
              <w:rPr>
                <w:b/>
                <w:color w:val="C0392B"/>
                <w:sz w:val="20"/>
              </w:rPr>
            </w:r>
          </w:p>
        </w:tc>
        <w:tc>
          <w:tcPr>
            <w:tcW w:type="dxa" w:w="1234"/>
            <w:shd w:fill="FFF3F3"/>
          </w:tcPr>
          <w:p>
            <w:pPr>
              <w:jc w:val="right"/>
            </w:pPr>
            <w:r/>
            <w:r>
              <w:rPr>
                <w:b/>
                <w:color w:val="C0392B"/>
                <w:sz w:val="20"/>
              </w:rPr>
              <w:t>351,080.00</w:t>
            </w:r>
          </w:p>
        </w:tc>
      </w:tr>
    </w:tbl>
    <w:p>
      <w:pPr>
        <w:spacing w:after="80"/>
      </w:pPr>
      <w:r>
        <w:rPr>
          <w:b w:val="0"/>
          <w:color w:val="777777"/>
          <w:sz w:val="18"/>
        </w:rPr>
        <w:t>Ocean freight is quoted at USD 9,000.00 per 40' SOC — 39 units = USD 351,000.00. Telex release is a per Bill of Lading charge and applies once per shipment, not per container, adding USD 80.00 for a total of USD 351,080.00. All amounts in USD.</w:t>
      </w:r>
    </w:p>
    <w:p/>
    <w:p>
      <w:pPr>
        <w:spacing w:after="40"/>
      </w:pPr>
      <w:r>
        <w:rPr>
          <w:b/>
          <w:color w:val="1A2A6C"/>
          <w:sz w:val="22"/>
        </w:rPr>
        <w:t>Shipment Details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rPr>
                <w:color w:val="888888"/>
                <w:sz w:val="19"/>
              </w:rPr>
              <w:t>Service Type</w:t>
            </w:r>
          </w:p>
        </w:tc>
        <w:tc>
          <w:tcPr>
            <w:tcW w:type="dxa" w:w="4320"/>
          </w:tcPr>
          <w:p>
            <w:r/>
            <w:r>
              <w:rPr>
                <w:b/>
                <w:sz w:val="19"/>
              </w:rPr>
              <w:t>Ocean Freight (FCL) — Shipper's Own Container</w:t>
            </w:r>
          </w:p>
        </w:tc>
      </w:tr>
      <w:tr>
        <w:tc>
          <w:tcPr>
            <w:tcW w:type="dxa" w:w="4320"/>
          </w:tcPr>
          <w:p>
            <w:r/>
            <w:r>
              <w:rPr>
                <w:color w:val="888888"/>
                <w:sz w:val="19"/>
              </w:rPr>
              <w:t>Carrier</w:t>
            </w:r>
          </w:p>
        </w:tc>
        <w:tc>
          <w:tcPr>
            <w:tcW w:type="dxa" w:w="4320"/>
          </w:tcPr>
          <w:p>
            <w:r/>
            <w:r>
              <w:rPr>
                <w:b/>
                <w:sz w:val="19"/>
              </w:rPr>
              <w:t>MSC</w:t>
            </w:r>
          </w:p>
        </w:tc>
      </w:tr>
      <w:tr>
        <w:tc>
          <w:tcPr>
            <w:tcW w:type="dxa" w:w="4320"/>
          </w:tcPr>
          <w:p>
            <w:r/>
            <w:r>
              <w:rPr>
                <w:color w:val="888888"/>
                <w:sz w:val="19"/>
              </w:rPr>
              <w:t>Origin Port (POL)</w:t>
            </w:r>
          </w:p>
        </w:tc>
        <w:tc>
          <w:tcPr>
            <w:tcW w:type="dxa" w:w="4320"/>
          </w:tcPr>
          <w:p>
            <w:r/>
            <w:r>
              <w:rPr>
                <w:b/>
                <w:sz w:val="19"/>
              </w:rPr>
              <w:t>Chongqing, China (CNCKG)</w:t>
            </w:r>
          </w:p>
        </w:tc>
      </w:tr>
      <w:tr>
        <w:tc>
          <w:tcPr>
            <w:tcW w:type="dxa" w:w="4320"/>
          </w:tcPr>
          <w:p>
            <w:r/>
            <w:r>
              <w:rPr>
                <w:color w:val="888888"/>
                <w:sz w:val="19"/>
              </w:rPr>
              <w:t>Destination Port (POD)</w:t>
            </w:r>
          </w:p>
        </w:tc>
        <w:tc>
          <w:tcPr>
            <w:tcW w:type="dxa" w:w="4320"/>
          </w:tcPr>
          <w:p>
            <w:r/>
            <w:r>
              <w:rPr>
                <w:b/>
                <w:sz w:val="19"/>
              </w:rPr>
              <w:t>Sohar, Oman (OMSOH)</w:t>
            </w:r>
          </w:p>
        </w:tc>
      </w:tr>
      <w:tr>
        <w:tc>
          <w:tcPr>
            <w:tcW w:type="dxa" w:w="4320"/>
          </w:tcPr>
          <w:p>
            <w:r/>
            <w:r>
              <w:rPr>
                <w:color w:val="888888"/>
                <w:sz w:val="19"/>
              </w:rPr>
              <w:t>Container Type / Equipment</w:t>
            </w:r>
          </w:p>
        </w:tc>
        <w:tc>
          <w:tcPr>
            <w:tcW w:type="dxa" w:w="4320"/>
          </w:tcPr>
          <w:p>
            <w:r/>
            <w:r>
              <w:rPr>
                <w:b/>
                <w:sz w:val="19"/>
              </w:rPr>
              <w:t>39 x 40' SOC (Shipper's Own Container)</w:t>
            </w:r>
          </w:p>
        </w:tc>
      </w:tr>
      <w:tr>
        <w:tc>
          <w:tcPr>
            <w:tcW w:type="dxa" w:w="4320"/>
          </w:tcPr>
          <w:p>
            <w:r/>
            <w:r>
              <w:rPr>
                <w:color w:val="888888"/>
                <w:sz w:val="19"/>
              </w:rPr>
              <w:t>Transit Time</w:t>
            </w:r>
          </w:p>
        </w:tc>
        <w:tc>
          <w:tcPr>
            <w:tcW w:type="dxa" w:w="4320"/>
          </w:tcPr>
          <w:p>
            <w:r/>
            <w:r>
              <w:rPr>
                <w:b/>
                <w:sz w:val="19"/>
              </w:rPr>
              <w:t>32 Days</w:t>
            </w:r>
          </w:p>
        </w:tc>
      </w:tr>
      <w:tr>
        <w:tc>
          <w:tcPr>
            <w:tcW w:type="dxa" w:w="4320"/>
          </w:tcPr>
          <w:p>
            <w:r/>
            <w:r>
              <w:rPr>
                <w:color w:val="888888"/>
                <w:sz w:val="19"/>
              </w:rPr>
              <w:t>Free Time</w:t>
            </w:r>
          </w:p>
        </w:tc>
        <w:tc>
          <w:tcPr>
            <w:tcW w:type="dxa" w:w="4320"/>
          </w:tcPr>
          <w:p>
            <w:r/>
            <w:r>
              <w:rPr>
                <w:b/>
                <w:sz w:val="19"/>
              </w:rPr>
              <w:t>14 Days (destination)</w:t>
            </w:r>
          </w:p>
        </w:tc>
      </w:tr>
      <w:tr>
        <w:tc>
          <w:tcPr>
            <w:tcW w:type="dxa" w:w="4320"/>
          </w:tcPr>
          <w:p>
            <w:r/>
            <w:r>
              <w:rPr>
                <w:color w:val="888888"/>
                <w:sz w:val="19"/>
              </w:rPr>
              <w:t>Telex Release</w:t>
            </w:r>
          </w:p>
        </w:tc>
        <w:tc>
          <w:tcPr>
            <w:tcW w:type="dxa" w:w="4320"/>
          </w:tcPr>
          <w:p>
            <w:r/>
            <w:r>
              <w:rPr>
                <w:b/>
                <w:sz w:val="19"/>
              </w:rPr>
              <w:t>USD 80 / B/L</w:t>
            </w:r>
          </w:p>
        </w:tc>
      </w:tr>
      <w:tr>
        <w:tc>
          <w:tcPr>
            <w:tcW w:type="dxa" w:w="4320"/>
          </w:tcPr>
          <w:p>
            <w:r/>
            <w:r>
              <w:rPr>
                <w:color w:val="888888"/>
                <w:sz w:val="19"/>
              </w:rPr>
              <w:t>Currency</w:t>
            </w:r>
          </w:p>
        </w:tc>
        <w:tc>
          <w:tcPr>
            <w:tcW w:type="dxa" w:w="4320"/>
          </w:tcPr>
          <w:p>
            <w:r/>
            <w:r>
              <w:rPr>
                <w:b/>
                <w:sz w:val="19"/>
              </w:rPr>
              <w:t>USD</w:t>
            </w:r>
          </w:p>
        </w:tc>
      </w:tr>
      <w:tr>
        <w:tc>
          <w:tcPr>
            <w:tcW w:type="dxa" w:w="4320"/>
          </w:tcPr>
          <w:p>
            <w:r/>
            <w:r>
              <w:rPr>
                <w:color w:val="888888"/>
                <w:sz w:val="19"/>
              </w:rPr>
              <w:t>Validity</w:t>
            </w:r>
          </w:p>
        </w:tc>
        <w:tc>
          <w:tcPr>
            <w:tcW w:type="dxa" w:w="4320"/>
          </w:tcPr>
          <w:p>
            <w:r/>
            <w:r>
              <w:rPr>
                <w:b/>
                <w:sz w:val="19"/>
              </w:rPr>
              <w:t>September 20, 2026</w:t>
            </w:r>
          </w:p>
        </w:tc>
      </w:tr>
    </w:tbl>
    <w:p/>
    <w:p>
      <w:pPr>
        <w:spacing w:after="40"/>
      </w:pPr>
      <w:r>
        <w:rPr>
          <w:b/>
          <w:color w:val="1A2A6C"/>
          <w:sz w:val="22"/>
        </w:rPr>
        <w:t>Terms &amp; Remarks</w:t>
      </w:r>
    </w:p>
    <w:p>
      <w:pPr>
        <w:pStyle w:val="ListBullet"/>
      </w:pPr>
      <w:r>
        <w:rPr>
          <w:sz w:val="19"/>
        </w:rPr>
        <w:t>Ocean freight rate is USD 9,000.00 per 40' SOC, 39 units — USD 351,000.00.</w:t>
      </w:r>
    </w:p>
    <w:p>
      <w:pPr>
        <w:pStyle w:val="ListBullet"/>
      </w:pPr>
      <w:r>
        <w:rPr>
          <w:sz w:val="19"/>
        </w:rPr>
        <w:t>Telex release fee: USD 80 per Bill of Lading, charged once per shipment and not per container.</w:t>
      </w:r>
    </w:p>
    <w:p>
      <w:pPr>
        <w:pStyle w:val="ListBullet"/>
      </w:pPr>
      <w:r>
        <w:rPr>
          <w:sz w:val="19"/>
        </w:rPr>
        <w:t>Free time: 14 days at destination.</w:t>
      </w:r>
    </w:p>
    <w:p>
      <w:pPr>
        <w:pStyle w:val="ListBullet"/>
      </w:pPr>
      <w:r>
        <w:rPr>
          <w:sz w:val="19"/>
        </w:rPr>
        <w:t>SOC (Shipper's Own Container): equipment is supplied by the shipper, CSC-plated, seaworthy and subject to carrier acceptance. No carrier per-diem or equipment imbalance surcharge applies.</w:t>
      </w:r>
    </w:p>
    <w:p>
      <w:pPr>
        <w:pStyle w:val="ListBullet"/>
      </w:pPr>
      <w:r>
        <w:rPr>
          <w:sz w:val="19"/>
        </w:rPr>
        <w:t>Chongqing (CNCKG) is an inland river port on the Yangtze; cargo moves by feeder connection to the ocean load port. Transit time of 32 days is an estimate and may vary with feeder connection, transhipment and carrier schedule.</w:t>
      </w:r>
    </w:p>
    <w:p>
      <w:pPr>
        <w:pStyle w:val="ListBullet"/>
      </w:pPr>
      <w:r>
        <w:rPr>
          <w:sz w:val="19"/>
        </w:rPr>
        <w:t>Rates are subject to space and equipment acceptance by the carrier at the time of booking.</w:t>
      </w:r>
    </w:p>
    <w:p>
      <w:pPr>
        <w:pStyle w:val="ListBullet"/>
      </w:pPr>
      <w:r>
        <w:rPr>
          <w:sz w:val="19"/>
        </w:rPr>
        <w:t>Origin haulage, terminal handling, documentation, import duties, taxes and destination charges are not included unless expressly stated above.</w:t>
      </w:r>
    </w:p>
    <w:p/>
    <w:p>
      <w:pPr>
        <w:spacing w:after="80"/>
        <w:jc w:val="center"/>
      </w:pPr>
      <w:r>
        <w:rPr>
          <w:b/>
          <w:sz w:val="19"/>
        </w:rPr>
        <w:t>Contact: Aaron — WhatsApp +86 158 1850 5125   |   https://search.shaq-logistics.com</w:t>
      </w:r>
    </w:p>
    <w:p>
      <w:pPr>
        <w:spacing w:after="80"/>
        <w:jc w:val="center"/>
      </w:pPr>
      <w:r>
        <w:rPr>
          <w:b w:val="0"/>
          <w:color w:val="888888"/>
          <w:sz w:val="17"/>
        </w:rPr>
        <w:t>SHAQ Logistics — Room 3702, Long Park Chong Chin Building, No. 2010 Bao'an South Road, Luohu District, Shenzhen, China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