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b/>
          <w:color w:val="0F7A8D"/>
          <w:sz w:val="44"/>
        </w:rPr>
        <w:t>LOGISTICS</w:t>
      </w:r>
    </w:p>
    <w:p>
      <w:pPr>
        <w:spacing w:after="40"/>
      </w:pPr>
      <w:r>
        <w:rPr>
          <w:b w:val="0"/>
          <w:color w:val="777777"/>
          <w:sz w:val="18"/>
        </w:rPr>
        <w:t>SMART FREIGHT RATE PLATFORM</w:t>
      </w:r>
    </w:p>
    <w:p>
      <w:pPr>
        <w:spacing w:after="40"/>
      </w:pPr>
      <w:r>
        <w:rPr>
          <w:b/>
          <w:color w:val="1A2A6C"/>
          <w:sz w:val="32"/>
        </w:rPr>
        <w:t>FREIGHT QUOTE</w:t>
      </w:r>
    </w:p>
    <w:p>
      <w:pPr>
        <w:spacing w:after="200"/>
      </w:pPr>
      <w:r>
        <w:rPr>
          <w:b w:val="0"/>
          <w:color w:val="777777"/>
          <w:sz w:val="20"/>
        </w:rPr>
        <w:t>No. SHAQ-BD-SRB-260831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  <w:sz w:val="20"/>
              </w:rPr>
              <w:t>Quote Date</w:t>
            </w:r>
          </w:p>
        </w:tc>
        <w:tc>
          <w:tcPr>
            <w:tcW w:type="dxa" w:w="3312"/>
          </w:tcPr>
          <w:p>
            <w:r>
              <w:rPr>
                <w:b/>
                <w:sz w:val="20"/>
              </w:rPr>
              <w:t>Valid Until</w:t>
            </w:r>
          </w:p>
        </w:tc>
        <w:tc>
          <w:tcPr>
            <w:tcW w:type="dxa" w:w="3312"/>
          </w:tcPr>
          <w:p>
            <w:r>
              <w:rPr>
                <w:b/>
                <w:sz w:val="20"/>
              </w:rPr>
              <w:t>Issued By</w:t>
            </w:r>
          </w:p>
        </w:tc>
      </w:tr>
      <w:tr>
        <w:tc>
          <w:tcPr>
            <w:tcW w:type="dxa" w:w="3312"/>
          </w:tcPr>
          <w:p>
            <w:r>
              <w:rPr>
                <w:sz w:val="20"/>
              </w:rPr>
              <w:t>August 31, 2026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September 6, 2026</w:t>
            </w:r>
          </w:p>
        </w:tc>
        <w:tc>
          <w:tcPr>
            <w:tcW w:type="dxa" w:w="3312"/>
          </w:tcPr>
          <w:p>
            <w:r>
              <w:rPr>
                <w:sz w:val="20"/>
              </w:rPr>
              <w:t>Aaron — SHAQ Logistics</w:t>
              <w:br/>
              <w:t>WhatsApp: +86 158 1850 5125</w:t>
            </w:r>
          </w:p>
        </w:tc>
      </w:tr>
    </w:tbl>
    <w:p>
      <w:pPr>
        <w:spacing w:after="40"/>
      </w:pPr>
      <w:r>
        <w:rPr>
          <w:b w:val="0"/>
          <w:sz w:val="12"/>
        </w:rPr>
      </w:r>
    </w:p>
    <w:p>
      <w:pPr>
        <w:spacing w:after="200"/>
        <w:jc w:val="center"/>
      </w:pPr>
      <w:r>
        <w:rPr>
          <w:b/>
          <w:color w:val="1A2A6C"/>
          <w:sz w:val="24"/>
        </w:rPr>
        <w:t>BAODING (Hebei, China)  →  SERBIA / Belgrade (BEG)  →  AIR — 2 Cartons · 76 kg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2484"/>
          </w:tcPr>
          <w:p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484"/>
          </w:tcPr>
          <w:p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484"/>
          </w:tcPr>
          <w:p>
            <w:r>
              <w:rPr>
                <w:b/>
                <w:color w:val="FFFFFF"/>
                <w:sz w:val="20"/>
              </w:rPr>
              <w:t>Amount (USD)</w:t>
            </w:r>
          </w:p>
        </w:tc>
      </w:tr>
      <w:tr>
        <w:tc>
          <w:tcPr>
            <w:tcW w:type="dxa" w:w="2484"/>
          </w:tcPr>
          <w:p>
            <w:r>
              <w:rPr>
                <w:sz w:val="20"/>
              </w:rPr>
              <w:t>Air Freight, Baoding → Serbia (DDU, ~5 days transit)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rPr>
                <w:sz w:val="20"/>
              </w:rPr>
              <w:t>76 kg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rPr>
                <w:sz w:val="20"/>
              </w:rPr>
              <w:t>21.50 / kg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rPr>
                <w:sz w:val="20"/>
              </w:rPr>
              <w:t>1,634.00</w:t>
            </w:r>
          </w:p>
        </w:tc>
      </w:tr>
      <w:tr>
        <w:tc>
          <w:tcPr>
            <w:tcW w:type="dxa" w:w="2484"/>
          </w:tcPr>
          <w:p>
            <w:r>
              <w:rPr>
                <w:b/>
                <w:color w:val="B21F1F"/>
                <w:sz w:val="22"/>
              </w:rPr>
              <w:t>TOTAL</w:t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rPr>
                <w:b/>
                <w:color w:val="B21F1F"/>
                <w:sz w:val="22"/>
              </w:rPr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rPr>
                <w:b/>
                <w:color w:val="B21F1F"/>
                <w:sz w:val="22"/>
              </w:rPr>
            </w:r>
          </w:p>
        </w:tc>
        <w:tc>
          <w:tcPr>
            <w:tcW w:type="dxa" w:w="2484"/>
          </w:tcPr>
          <w:p>
            <w:pPr>
              <w:jc w:val="right"/>
            </w:pPr>
            <w:r>
              <w:rPr>
                <w:b/>
                <w:color w:val="B21F1F"/>
                <w:sz w:val="22"/>
              </w:rPr>
              <w:t>USD 1,634.00</w:t>
            </w:r>
          </w:p>
        </w:tc>
      </w:tr>
    </w:tbl>
    <w:p>
      <w:pPr>
        <w:spacing w:after="40"/>
      </w:pPr>
      <w:r>
        <w:rPr>
          <w:b w:val="0"/>
          <w:sz w:val="12"/>
        </w:rPr>
      </w:r>
    </w:p>
    <w:p>
      <w:pPr>
        <w:spacing w:after="200"/>
        <w:jc w:val="center"/>
      </w:pPr>
      <w:r>
        <w:rPr>
          <w:b/>
          <w:sz w:val="20"/>
        </w:rPr>
        <w:t>This rate is valid until September 6, 2026 — lock now to secure.</w:t>
      </w:r>
    </w:p>
    <w:p>
      <w:pPr>
        <w:spacing w:after="120"/>
      </w:pPr>
      <w:r>
        <w:rPr>
          <w:b/>
          <w:color w:val="1A2A6C"/>
          <w:sz w:val="24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color w:val="777777"/>
                <w:sz w:val="20"/>
              </w:rPr>
              <w:t>Service Type</w:t>
            </w:r>
          </w:p>
        </w:tc>
        <w:tc>
          <w:tcPr>
            <w:tcW w:type="dxa" w:w="4968"/>
          </w:tcPr>
          <w:p>
            <w:r>
              <w:rPr>
                <w:b/>
                <w:sz w:val="20"/>
              </w:rPr>
              <w:t>Air Freight (Door to Door, DDU)</w:t>
            </w:r>
          </w:p>
        </w:tc>
      </w:tr>
      <w:tr>
        <w:tc>
          <w:tcPr>
            <w:tcW w:type="dxa" w:w="4968"/>
          </w:tcPr>
          <w:p>
            <w:r>
              <w:rPr>
                <w:color w:val="777777"/>
                <w:sz w:val="20"/>
              </w:rPr>
              <w:t>Origin</w:t>
            </w:r>
          </w:p>
        </w:tc>
        <w:tc>
          <w:tcPr>
            <w:tcW w:type="dxa" w:w="4968"/>
          </w:tcPr>
          <w:p>
            <w:r>
              <w:rPr>
                <w:b/>
                <w:sz w:val="20"/>
              </w:rPr>
              <w:t>Baoding, Hebei, China</w:t>
            </w:r>
          </w:p>
        </w:tc>
      </w:tr>
      <w:tr>
        <w:tc>
          <w:tcPr>
            <w:tcW w:type="dxa" w:w="4968"/>
          </w:tcPr>
          <w:p>
            <w:r>
              <w:rPr>
                <w:color w:val="777777"/>
                <w:sz w:val="20"/>
              </w:rPr>
              <w:t>Destination</w:t>
            </w:r>
          </w:p>
        </w:tc>
        <w:tc>
          <w:tcPr>
            <w:tcW w:type="dxa" w:w="4968"/>
          </w:tcPr>
          <w:p>
            <w:r>
              <w:rPr>
                <w:b/>
                <w:sz w:val="20"/>
              </w:rPr>
              <w:t>Belgrade, Serbia (BEG — Nikola Tesla Airport)</w:t>
            </w:r>
          </w:p>
        </w:tc>
      </w:tr>
      <w:tr>
        <w:tc>
          <w:tcPr>
            <w:tcW w:type="dxa" w:w="4968"/>
          </w:tcPr>
          <w:p>
            <w:r>
              <w:rPr>
                <w:color w:val="777777"/>
                <w:sz w:val="20"/>
              </w:rPr>
              <w:t>Cargo</w:t>
            </w:r>
          </w:p>
        </w:tc>
        <w:tc>
          <w:tcPr>
            <w:tcW w:type="dxa" w:w="4968"/>
          </w:tcPr>
          <w:p>
            <w:r>
              <w:rPr>
                <w:b/>
                <w:sz w:val="20"/>
              </w:rPr>
              <w:t>2 Cartons — 76 kg Gross / 0.36 CBM</w:t>
            </w:r>
          </w:p>
        </w:tc>
      </w:tr>
      <w:tr>
        <w:tc>
          <w:tcPr>
            <w:tcW w:type="dxa" w:w="4968"/>
          </w:tcPr>
          <w:p>
            <w:r>
              <w:rPr>
                <w:color w:val="777777"/>
                <w:sz w:val="20"/>
              </w:rPr>
              <w:t>Chargeable Weight</w:t>
            </w:r>
          </w:p>
        </w:tc>
        <w:tc>
          <w:tcPr>
            <w:tcW w:type="dxa" w:w="4968"/>
          </w:tcPr>
          <w:p>
            <w:r>
              <w:rPr>
                <w:b/>
                <w:sz w:val="20"/>
              </w:rPr>
              <w:t>76 kg (greater of gross vs volumetric, 1:6000)</w:t>
            </w:r>
          </w:p>
        </w:tc>
      </w:tr>
      <w:tr>
        <w:tc>
          <w:tcPr>
            <w:tcW w:type="dxa" w:w="4968"/>
          </w:tcPr>
          <w:p>
            <w:r>
              <w:rPr>
                <w:color w:val="777777"/>
                <w:sz w:val="20"/>
              </w:rPr>
              <w:t>Transit Time</w:t>
            </w:r>
          </w:p>
        </w:tc>
        <w:tc>
          <w:tcPr>
            <w:tcW w:type="dxa" w:w="4968"/>
          </w:tcPr>
          <w:p>
            <w:r>
              <w:rPr>
                <w:b/>
                <w:sz w:val="20"/>
              </w:rPr>
              <w:t>Approx. 5 Days</w:t>
            </w:r>
          </w:p>
        </w:tc>
      </w:tr>
      <w:tr>
        <w:tc>
          <w:tcPr>
            <w:tcW w:type="dxa" w:w="4968"/>
          </w:tcPr>
          <w:p>
            <w:r>
              <w:rPr>
                <w:color w:val="777777"/>
                <w:sz w:val="20"/>
              </w:rPr>
              <w:t>Term</w:t>
            </w:r>
          </w:p>
        </w:tc>
        <w:tc>
          <w:tcPr>
            <w:tcW w:type="dxa" w:w="4968"/>
          </w:tcPr>
          <w:p>
            <w:r>
              <w:rPr>
                <w:b/>
                <w:sz w:val="20"/>
              </w:rPr>
              <w:t>DDU (Delivered Duty Unpaid)</w:t>
            </w:r>
          </w:p>
        </w:tc>
      </w:tr>
      <w:tr>
        <w:tc>
          <w:tcPr>
            <w:tcW w:type="dxa" w:w="4968"/>
          </w:tcPr>
          <w:p>
            <w:r>
              <w:rPr>
                <w:color w:val="777777"/>
                <w:sz w:val="20"/>
              </w:rPr>
              <w:t>Currency</w:t>
            </w:r>
          </w:p>
        </w:tc>
        <w:tc>
          <w:tcPr>
            <w:tcW w:type="dxa" w:w="4968"/>
          </w:tcPr>
          <w:p>
            <w:r>
              <w:rPr>
                <w:b/>
                <w:sz w:val="20"/>
              </w:rPr>
              <w:t>USD</w:t>
            </w:r>
          </w:p>
        </w:tc>
      </w:tr>
      <w:tr>
        <w:tc>
          <w:tcPr>
            <w:tcW w:type="dxa" w:w="4968"/>
          </w:tcPr>
          <w:p>
            <w:r>
              <w:rPr>
                <w:color w:val="777777"/>
                <w:sz w:val="20"/>
              </w:rPr>
              <w:t>Validity</w:t>
            </w:r>
          </w:p>
        </w:tc>
        <w:tc>
          <w:tcPr>
            <w:tcW w:type="dxa" w:w="4968"/>
          </w:tcPr>
          <w:p>
            <w:r>
              <w:rPr>
                <w:b/>
                <w:sz w:val="20"/>
              </w:rPr>
              <w:t>September 6, 2026</w:t>
            </w:r>
          </w:p>
        </w:tc>
      </w:tr>
    </w:tbl>
    <w:p>
      <w:pPr>
        <w:spacing w:after="40"/>
      </w:pPr>
      <w:r>
        <w:rPr>
          <w:b w:val="0"/>
          <w:sz w:val="12"/>
        </w:rPr>
      </w:r>
    </w:p>
    <w:p>
      <w:pPr>
        <w:spacing w:after="120"/>
      </w:pPr>
      <w:r>
        <w:rPr>
          <w:b/>
          <w:color w:val="1A2A6C"/>
          <w:sz w:val="24"/>
        </w:rPr>
        <w:t>TERMS &amp; REMARKS</w:t>
      </w:r>
    </w:p>
    <w:p>
      <w:pPr>
        <w:pStyle w:val="ListBullet"/>
        <w:spacing w:after="40"/>
      </w:pPr>
      <w:r>
        <w:rPr>
          <w:sz w:val="20"/>
        </w:rPr>
        <w:t>Quoted on DDU basis: pickup, airport handling, air freight and delivery to consignee's door in Serbia included; import duties and taxes are payable by consignee.</w:t>
      </w:r>
    </w:p>
    <w:p>
      <w:pPr>
        <w:pStyle w:val="ListBullet"/>
        <w:spacing w:after="40"/>
      </w:pPr>
      <w:r>
        <w:rPr>
          <w:sz w:val="20"/>
        </w:rPr>
        <w:t>Chargeable weight is the greater of actual gross weight and volumetric weight (1 CBM = 167 kg for air freight).</w:t>
      </w:r>
    </w:p>
    <w:p>
      <w:pPr>
        <w:pStyle w:val="ListBullet"/>
        <w:spacing w:after="40"/>
      </w:pPr>
      <w:r>
        <w:rPr>
          <w:sz w:val="20"/>
        </w:rPr>
        <w:t>Air freight rates are subject to airline space availability and fuel/security surcharges at time of booking.</w:t>
      </w:r>
    </w:p>
    <w:p>
      <w:pPr>
        <w:pStyle w:val="ListBullet"/>
        <w:spacing w:after="40"/>
      </w:pPr>
      <w:r>
        <w:rPr>
          <w:sz w:val="20"/>
        </w:rPr>
        <w:t>Cargo must be deliverable and accompanied by a full commercial invoice and packing list for customs clearance.</w:t>
      </w:r>
    </w:p>
    <w:p>
      <w:pPr>
        <w:pStyle w:val="ListBullet"/>
        <w:spacing w:after="40"/>
      </w:pPr>
      <w:r>
        <w:rPr>
          <w:sz w:val="20"/>
        </w:rPr>
        <w:t>All charges are quoted in USD. Currency conversion fees borne by consignee.</w:t>
      </w:r>
    </w:p>
    <w:p>
      <w:pPr>
        <w:spacing w:after="80"/>
      </w:pPr>
      <w:r>
        <w:rPr>
          <w:b w:val="0"/>
          <w:sz w:val="16"/>
        </w:rPr>
      </w:r>
    </w:p>
    <w:p>
      <w:pPr>
        <w:spacing w:after="80"/>
        <w:jc w:val="center"/>
      </w:pPr>
      <w:r>
        <w:rPr>
          <w:b/>
          <w:sz w:val="20"/>
        </w:rPr>
        <w:t>Contact: Aaron — WhatsApp +86 158 1850 5125 | ayang@shaq-log.com | search.shaq-logistics.com</w:t>
      </w:r>
    </w:p>
    <w:p>
      <w:pPr>
        <w:spacing w:after="80"/>
        <w:jc w:val="center"/>
      </w:pPr>
      <w:r>
        <w:rPr>
          <w:b w:val="0"/>
          <w:color w:val="777777"/>
          <w:sz w:val="18"/>
        </w:rPr>
        <w:t>SHAQ Logistics — Room 3702, Long Park Chong Chin Building, No. 2010 Bao'an South Road, Luohu District, Shenzhen, China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